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95F341" w14:textId="410FF22C" w:rsidR="00397CA3" w:rsidRPr="00B85CD2" w:rsidRDefault="00F96A0A" w:rsidP="00490C0A">
      <w:pPr>
        <w:spacing w:line="240" w:lineRule="auto"/>
        <w:ind w:left="-450" w:right="-90"/>
        <w:jc w:val="center"/>
        <w:rPr>
          <w:rFonts w:asciiTheme="majorHAnsi" w:hAnsiTheme="majorHAnsi"/>
          <w:color w:val="FFFFFF" w:themeColor="background1"/>
          <w:position w:val="-40"/>
          <w:sz w:val="24"/>
          <w:szCs w:val="24"/>
        </w:rPr>
      </w:pPr>
      <w:r w:rsidRPr="00B85CD2">
        <w:rPr>
          <w:rFonts w:asciiTheme="majorHAnsi" w:hAnsiTheme="majorHAnsi"/>
          <w:noProof/>
          <w:color w:val="FFFFFF" w:themeColor="background1"/>
          <w:position w:val="-40"/>
          <w:sz w:val="24"/>
          <w:szCs w:val="24"/>
        </w:rPr>
        <w:drawing>
          <wp:anchor distT="0" distB="0" distL="114300" distR="114300" simplePos="0" relativeHeight="251658240" behindDoc="1" locked="0" layoutInCell="1" allowOverlap="1" wp14:anchorId="696B7A51" wp14:editId="68521BB8">
            <wp:simplePos x="0" y="0"/>
            <wp:positionH relativeFrom="column">
              <wp:posOffset>-228600</wp:posOffset>
            </wp:positionH>
            <wp:positionV relativeFrom="paragraph">
              <wp:posOffset>3810</wp:posOffset>
            </wp:positionV>
            <wp:extent cx="5943600" cy="401744"/>
            <wp:effectExtent l="0" t="0" r="0" b="508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ksheet Header Graphic.png"/>
                    <pic:cNvPicPr/>
                  </pic:nvPicPr>
                  <pic:blipFill>
                    <a:blip r:embed="rId8">
                      <a:extLst>
                        <a:ext uri="{28A0092B-C50C-407E-A947-70E740481C1C}">
                          <a14:useLocalDpi xmlns:a14="http://schemas.microsoft.com/office/drawing/2010/main" val="0"/>
                        </a:ext>
                      </a:extLst>
                    </a:blip>
                    <a:stretch>
                      <a:fillRect/>
                    </a:stretch>
                  </pic:blipFill>
                  <pic:spPr>
                    <a:xfrm>
                      <a:off x="0" y="0"/>
                      <a:ext cx="5943600" cy="401744"/>
                    </a:xfrm>
                    <a:prstGeom prst="rect">
                      <a:avLst/>
                    </a:prstGeom>
                  </pic:spPr>
                </pic:pic>
              </a:graphicData>
            </a:graphic>
            <wp14:sizeRelH relativeFrom="page">
              <wp14:pctWidth>0</wp14:pctWidth>
            </wp14:sizeRelH>
            <wp14:sizeRelV relativeFrom="page">
              <wp14:pctHeight>0</wp14:pctHeight>
            </wp14:sizeRelV>
          </wp:anchor>
        </w:drawing>
      </w:r>
      <w:r w:rsidR="00263D3F">
        <w:rPr>
          <w:rFonts w:asciiTheme="majorHAnsi" w:hAnsiTheme="majorHAnsi"/>
          <w:noProof/>
          <w:color w:val="FFFFFF" w:themeColor="background1"/>
          <w:position w:val="-40"/>
          <w:sz w:val="24"/>
          <w:szCs w:val="24"/>
        </w:rPr>
        <w:t>Appendix</w:t>
      </w:r>
      <w:r w:rsidR="00F3646B">
        <w:rPr>
          <w:rFonts w:asciiTheme="majorHAnsi" w:hAnsiTheme="majorHAnsi"/>
          <w:color w:val="FFFFFF" w:themeColor="background1"/>
          <w:position w:val="-40"/>
          <w:sz w:val="24"/>
          <w:szCs w:val="24"/>
        </w:rPr>
        <w:t xml:space="preserve"> Worksheets</w:t>
      </w:r>
    </w:p>
    <w:p w14:paraId="1B2ED544" w14:textId="77777777" w:rsidR="00263D3F" w:rsidRPr="00263D3F" w:rsidRDefault="00263D3F" w:rsidP="00263D3F">
      <w:pPr>
        <w:tabs>
          <w:tab w:val="left" w:pos="90"/>
        </w:tabs>
        <w:spacing w:before="240" w:line="240" w:lineRule="atLeast"/>
        <w:ind w:left="-274"/>
        <w:jc w:val="center"/>
        <w:rPr>
          <w:rFonts w:asciiTheme="majorHAnsi" w:hAnsiTheme="majorHAnsi"/>
          <w:b/>
          <w:color w:val="00836C"/>
          <w:sz w:val="36"/>
          <w:szCs w:val="36"/>
        </w:rPr>
      </w:pPr>
      <w:r w:rsidRPr="00263D3F">
        <w:rPr>
          <w:rFonts w:asciiTheme="majorHAnsi" w:hAnsiTheme="majorHAnsi"/>
          <w:b/>
          <w:color w:val="00836C"/>
          <w:sz w:val="36"/>
          <w:szCs w:val="36"/>
        </w:rPr>
        <w:t xml:space="preserve">Appendix Worksheet Instructions: </w:t>
      </w:r>
      <w:r w:rsidRPr="00263D3F">
        <w:rPr>
          <w:rFonts w:asciiTheme="majorHAnsi" w:hAnsiTheme="majorHAnsi"/>
          <w:b/>
          <w:color w:val="00836C"/>
          <w:sz w:val="36"/>
          <w:szCs w:val="36"/>
        </w:rPr>
        <w:br/>
        <w:t>Reflection and Planning in Times of Upheaval</w:t>
      </w:r>
    </w:p>
    <w:p w14:paraId="5C29FB63" w14:textId="2FDE01C1" w:rsidR="00263D3F" w:rsidRPr="00465608" w:rsidRDefault="00263D3F" w:rsidP="00263D3F">
      <w:pPr>
        <w:tabs>
          <w:tab w:val="left" w:pos="90"/>
        </w:tabs>
        <w:spacing w:line="240" w:lineRule="auto"/>
        <w:ind w:left="-274"/>
        <w:rPr>
          <w:rFonts w:asciiTheme="majorHAnsi" w:eastAsiaTheme="minorEastAsia" w:hAnsiTheme="majorHAnsi" w:cs="ITCAvantGardeStd-BkCn"/>
          <w:color w:val="000000"/>
          <w:sz w:val="20"/>
          <w:szCs w:val="20"/>
        </w:rPr>
      </w:pPr>
      <w:r w:rsidRPr="00465608">
        <w:rPr>
          <w:rFonts w:asciiTheme="majorHAnsi" w:eastAsiaTheme="minorEastAsia" w:hAnsiTheme="majorHAnsi" w:cs="ITCAvantGardeStd-BkCn"/>
          <w:color w:val="000000"/>
          <w:sz w:val="20"/>
          <w:szCs w:val="20"/>
        </w:rPr>
        <w:t>The world of higher education is being reshaped by the COVID-19 pandemic and nationwide discussion focused on equity and injustice. These Worksheets are designed to help your team focus new attention on issues raised by these profound developments and to plan professional learning programs that will support your faculty and staff in adapting effectively to—and helping to guide—learning-centered and equity-focused change.</w:t>
      </w:r>
      <w:r w:rsidRPr="00465608">
        <w:rPr>
          <w:rStyle w:val="FootnoteReference"/>
          <w:rFonts w:asciiTheme="majorHAnsi" w:eastAsiaTheme="minorEastAsia" w:hAnsiTheme="majorHAnsi" w:cs="ITCAvantGardeStd-BkCn"/>
          <w:color w:val="000000"/>
          <w:sz w:val="20"/>
          <w:szCs w:val="20"/>
        </w:rPr>
        <w:footnoteReference w:id="1"/>
      </w:r>
    </w:p>
    <w:p w14:paraId="519DF19C" w14:textId="27155612" w:rsidR="00263D3F" w:rsidRPr="00465608" w:rsidRDefault="00263D3F" w:rsidP="00263D3F">
      <w:pPr>
        <w:tabs>
          <w:tab w:val="left" w:pos="90"/>
        </w:tabs>
        <w:spacing w:line="240" w:lineRule="auto"/>
        <w:ind w:left="-274"/>
        <w:rPr>
          <w:rFonts w:asciiTheme="majorHAnsi" w:eastAsiaTheme="minorEastAsia" w:hAnsiTheme="majorHAnsi" w:cs="ITCAvantGardeStd-BkCn"/>
          <w:color w:val="000000"/>
          <w:sz w:val="20"/>
          <w:szCs w:val="20"/>
        </w:rPr>
      </w:pPr>
      <w:r w:rsidRPr="00465608">
        <w:rPr>
          <w:rFonts w:asciiTheme="majorHAnsi" w:eastAsiaTheme="minorEastAsia" w:hAnsiTheme="majorHAnsi" w:cs="ITCAvantGardeStd-BkCn"/>
          <w:color w:val="000000"/>
          <w:sz w:val="20"/>
          <w:szCs w:val="20"/>
        </w:rPr>
        <w:t xml:space="preserve">In June 2020, Achieving the Dream released a </w:t>
      </w:r>
      <w:r w:rsidRPr="00465608">
        <w:rPr>
          <w:rFonts w:asciiTheme="majorHAnsi" w:eastAsiaTheme="minorEastAsia" w:hAnsiTheme="majorHAnsi" w:cs="ITCAvantGardeStd-BkCn"/>
          <w:i/>
          <w:iCs/>
          <w:color w:val="000000"/>
          <w:sz w:val="20"/>
          <w:szCs w:val="20"/>
        </w:rPr>
        <w:t>Toolkit for Actionable Decision Making in Times of Disruption</w:t>
      </w:r>
      <w:r w:rsidRPr="00465608">
        <w:rPr>
          <w:rFonts w:asciiTheme="majorHAnsi" w:eastAsiaTheme="minorEastAsia" w:hAnsiTheme="majorHAnsi" w:cs="ITCAvantGardeStd-BkCn"/>
          <w:color w:val="000000"/>
          <w:sz w:val="20"/>
          <w:szCs w:val="20"/>
        </w:rPr>
        <w:t>, which includes three key resources that can also be helpful to your team.</w:t>
      </w:r>
      <w:r w:rsidR="00275D65" w:rsidRPr="00465608">
        <w:rPr>
          <w:rStyle w:val="FootnoteReference"/>
          <w:rFonts w:asciiTheme="majorHAnsi" w:eastAsiaTheme="minorEastAsia" w:hAnsiTheme="majorHAnsi" w:cs="ITCAvantGardeStd-BkCn"/>
          <w:color w:val="000000"/>
          <w:sz w:val="20"/>
          <w:szCs w:val="20"/>
        </w:rPr>
        <w:footnoteReference w:id="2"/>
      </w:r>
    </w:p>
    <w:p w14:paraId="334AD60C" w14:textId="77777777" w:rsidR="00263D3F" w:rsidRPr="00465608" w:rsidRDefault="00263D3F" w:rsidP="00263D3F">
      <w:pPr>
        <w:tabs>
          <w:tab w:val="left" w:pos="90"/>
        </w:tabs>
        <w:spacing w:line="240" w:lineRule="auto"/>
        <w:ind w:left="576" w:hanging="288"/>
        <w:rPr>
          <w:rFonts w:asciiTheme="majorHAnsi" w:eastAsiaTheme="minorEastAsia" w:hAnsiTheme="majorHAnsi" w:cs="ITCAvantGardeStd-BkCn"/>
          <w:color w:val="000000"/>
          <w:sz w:val="20"/>
          <w:szCs w:val="20"/>
        </w:rPr>
      </w:pPr>
      <w:r w:rsidRPr="00465608">
        <w:rPr>
          <w:rFonts w:asciiTheme="majorHAnsi" w:eastAsiaTheme="minorEastAsia" w:hAnsiTheme="majorHAnsi" w:cs="ITCAvantGardeStd-BkCn"/>
          <w:color w:val="000000"/>
          <w:sz w:val="20"/>
          <w:szCs w:val="20"/>
        </w:rPr>
        <w:t>•</w:t>
      </w:r>
      <w:r w:rsidRPr="00465608">
        <w:rPr>
          <w:rFonts w:asciiTheme="majorHAnsi" w:eastAsiaTheme="minorEastAsia" w:hAnsiTheme="majorHAnsi" w:cs="ITCAvantGardeStd-BkCn"/>
          <w:i/>
          <w:iCs/>
          <w:color w:val="000000"/>
          <w:sz w:val="20"/>
          <w:szCs w:val="20"/>
        </w:rPr>
        <w:tab/>
        <w:t>Data-Informed Decision Making in Times of Disruption:</w:t>
      </w:r>
      <w:r w:rsidRPr="00465608">
        <w:rPr>
          <w:rFonts w:asciiTheme="majorHAnsi" w:eastAsiaTheme="minorEastAsia" w:hAnsiTheme="majorHAnsi" w:cs="ITCAvantGardeStd-BkCn"/>
          <w:color w:val="000000"/>
          <w:sz w:val="20"/>
          <w:szCs w:val="20"/>
        </w:rPr>
        <w:t xml:space="preserve"> </w:t>
      </w:r>
      <w:r w:rsidRPr="00465608">
        <w:rPr>
          <w:rFonts w:asciiTheme="majorHAnsi" w:eastAsiaTheme="minorEastAsia" w:hAnsiTheme="majorHAnsi" w:cs="ITCAvantGardeStd-BkCn"/>
          <w:i/>
          <w:iCs/>
          <w:color w:val="000000"/>
          <w:sz w:val="20"/>
          <w:szCs w:val="20"/>
        </w:rPr>
        <w:t>A Guide</w:t>
      </w:r>
      <w:r w:rsidRPr="00465608">
        <w:rPr>
          <w:rFonts w:asciiTheme="majorHAnsi" w:eastAsiaTheme="minorEastAsia" w:hAnsiTheme="majorHAnsi" w:cs="ITCAvantGardeStd-BkCn"/>
          <w:color w:val="000000"/>
          <w:sz w:val="20"/>
          <w:szCs w:val="20"/>
        </w:rPr>
        <w:t>. Provides decision support to institutional leaders to build stronger adaptive and resilient organizations in three of the areas impacted most by COVID-19: student learning, student supports, and enrollment management.</w:t>
      </w:r>
    </w:p>
    <w:p w14:paraId="5902652C" w14:textId="77777777" w:rsidR="00263D3F" w:rsidRPr="00465608" w:rsidRDefault="00263D3F" w:rsidP="00263D3F">
      <w:pPr>
        <w:tabs>
          <w:tab w:val="left" w:pos="90"/>
        </w:tabs>
        <w:spacing w:line="240" w:lineRule="auto"/>
        <w:ind w:left="576" w:hanging="288"/>
        <w:rPr>
          <w:rFonts w:asciiTheme="majorHAnsi" w:eastAsiaTheme="minorEastAsia" w:hAnsiTheme="majorHAnsi" w:cs="ITCAvantGardeStd-BkCn"/>
          <w:color w:val="000000"/>
          <w:sz w:val="20"/>
          <w:szCs w:val="20"/>
        </w:rPr>
      </w:pPr>
      <w:r w:rsidRPr="00465608">
        <w:rPr>
          <w:rFonts w:asciiTheme="majorHAnsi" w:eastAsiaTheme="minorEastAsia" w:hAnsiTheme="majorHAnsi" w:cs="ITCAvantGardeStd-BkCn"/>
          <w:color w:val="000000"/>
          <w:sz w:val="20"/>
          <w:szCs w:val="20"/>
        </w:rPr>
        <w:t>•</w:t>
      </w:r>
      <w:r w:rsidRPr="00465608">
        <w:rPr>
          <w:rFonts w:asciiTheme="majorHAnsi" w:eastAsiaTheme="minorEastAsia" w:hAnsiTheme="majorHAnsi" w:cs="ITCAvantGardeStd-BkCn"/>
          <w:i/>
          <w:iCs/>
          <w:color w:val="000000"/>
          <w:sz w:val="20"/>
          <w:szCs w:val="20"/>
        </w:rPr>
        <w:tab/>
        <w:t>Building Adaptive Capacity for Resiliency and Agility: A Guide.</w:t>
      </w:r>
      <w:r w:rsidRPr="00465608">
        <w:rPr>
          <w:rFonts w:asciiTheme="majorHAnsi" w:eastAsiaTheme="minorEastAsia" w:hAnsiTheme="majorHAnsi" w:cs="ITCAvantGardeStd-BkCn"/>
          <w:color w:val="000000"/>
          <w:sz w:val="20"/>
          <w:szCs w:val="20"/>
        </w:rPr>
        <w:t xml:space="preserve"> This resource provides a framework for building adaptive capacity, which is the ability to generate or initiate changes in the way we do business that drives improved performance, relevance and impact. </w:t>
      </w:r>
    </w:p>
    <w:p w14:paraId="4BF02884" w14:textId="77777777" w:rsidR="00263D3F" w:rsidRPr="00465608" w:rsidRDefault="00263D3F" w:rsidP="00263D3F">
      <w:pPr>
        <w:tabs>
          <w:tab w:val="left" w:pos="90"/>
        </w:tabs>
        <w:spacing w:line="240" w:lineRule="auto"/>
        <w:ind w:left="576" w:hanging="288"/>
        <w:rPr>
          <w:rFonts w:asciiTheme="majorHAnsi" w:eastAsiaTheme="minorEastAsia" w:hAnsiTheme="majorHAnsi" w:cs="ITCAvantGardeStd-BkCn"/>
          <w:color w:val="000000"/>
          <w:sz w:val="20"/>
          <w:szCs w:val="20"/>
        </w:rPr>
      </w:pPr>
      <w:r w:rsidRPr="00465608">
        <w:rPr>
          <w:rFonts w:asciiTheme="majorHAnsi" w:eastAsiaTheme="minorEastAsia" w:hAnsiTheme="majorHAnsi" w:cs="ITCAvantGardeStd-BkCn"/>
          <w:color w:val="000000"/>
          <w:sz w:val="20"/>
          <w:szCs w:val="20"/>
        </w:rPr>
        <w:t>•</w:t>
      </w:r>
      <w:r w:rsidRPr="00465608">
        <w:rPr>
          <w:rFonts w:asciiTheme="majorHAnsi" w:eastAsiaTheme="minorEastAsia" w:hAnsiTheme="majorHAnsi" w:cs="ITCAvantGardeStd-BkCn"/>
          <w:i/>
          <w:iCs/>
          <w:color w:val="000000"/>
          <w:sz w:val="20"/>
          <w:szCs w:val="20"/>
        </w:rPr>
        <w:tab/>
        <w:t>COVID-19 Reflection Exercise.</w:t>
      </w:r>
      <w:r w:rsidRPr="00465608">
        <w:rPr>
          <w:rFonts w:asciiTheme="majorHAnsi" w:eastAsiaTheme="minorEastAsia" w:hAnsiTheme="majorHAnsi" w:cs="ITCAvantGardeStd-BkCn"/>
          <w:color w:val="000000"/>
          <w:sz w:val="20"/>
          <w:szCs w:val="20"/>
        </w:rPr>
        <w:t xml:space="preserve"> This tool can be used by itself or together with other ATD resources to help colleges prioritize near- to medium-term actions, allocate resources strategically, and scenario plan for ongoing operations.</w:t>
      </w:r>
    </w:p>
    <w:p w14:paraId="574F407F" w14:textId="77777777" w:rsidR="00263D3F" w:rsidRPr="00465608" w:rsidRDefault="00263D3F" w:rsidP="00263D3F">
      <w:pPr>
        <w:tabs>
          <w:tab w:val="left" w:pos="90"/>
        </w:tabs>
        <w:spacing w:line="240" w:lineRule="auto"/>
        <w:ind w:left="-274"/>
        <w:rPr>
          <w:rFonts w:asciiTheme="majorHAnsi" w:eastAsiaTheme="minorEastAsia" w:hAnsiTheme="majorHAnsi" w:cs="ITCAvantGardeStd-BkCn"/>
          <w:color w:val="000000"/>
          <w:sz w:val="20"/>
          <w:szCs w:val="20"/>
        </w:rPr>
      </w:pPr>
      <w:r w:rsidRPr="00465608">
        <w:rPr>
          <w:rFonts w:asciiTheme="majorHAnsi" w:eastAsiaTheme="minorEastAsia" w:hAnsiTheme="majorHAnsi" w:cs="ITCAvantGardeStd-BkCn"/>
          <w:color w:val="000000"/>
          <w:sz w:val="20"/>
          <w:szCs w:val="20"/>
        </w:rPr>
        <w:t>We draw on these resources in the Appendix Worksheets, but we also encourage your team and other teams at your college to review each of these resources in full. Further, they may be a helpful point of connection as multiple cross-functional teams at your institution with different areas of focus come together for deeper reflection and integrated planning in times of crisis and disruption.</w:t>
      </w:r>
    </w:p>
    <w:p w14:paraId="166A1B3C" w14:textId="77777777" w:rsidR="00263D3F" w:rsidRPr="00465608" w:rsidRDefault="00263D3F" w:rsidP="00263D3F">
      <w:pPr>
        <w:tabs>
          <w:tab w:val="left" w:pos="90"/>
        </w:tabs>
        <w:spacing w:line="240" w:lineRule="auto"/>
        <w:ind w:left="576" w:hanging="288"/>
        <w:rPr>
          <w:rFonts w:asciiTheme="majorHAnsi" w:eastAsiaTheme="minorEastAsia" w:hAnsiTheme="majorHAnsi" w:cs="ITCAvantGardeStd-BkCn"/>
          <w:color w:val="000000"/>
          <w:sz w:val="20"/>
          <w:szCs w:val="20"/>
        </w:rPr>
      </w:pPr>
      <w:r w:rsidRPr="00465608">
        <w:rPr>
          <w:rFonts w:asciiTheme="majorHAnsi" w:eastAsiaTheme="minorEastAsia" w:hAnsiTheme="majorHAnsi" w:cs="ITCAvantGardeStd-BkCn"/>
          <w:b/>
          <w:color w:val="000000"/>
          <w:sz w:val="20"/>
          <w:szCs w:val="20"/>
        </w:rPr>
        <w:t>•</w:t>
      </w:r>
      <w:r w:rsidRPr="00465608">
        <w:rPr>
          <w:rFonts w:asciiTheme="majorHAnsi" w:eastAsiaTheme="minorEastAsia" w:hAnsiTheme="majorHAnsi" w:cs="ITCAvantGardeStd-BkCn"/>
          <w:b/>
          <w:color w:val="000000"/>
          <w:sz w:val="20"/>
          <w:szCs w:val="20"/>
        </w:rPr>
        <w:tab/>
        <w:t>Worksheet Appendix.1</w:t>
      </w:r>
      <w:r w:rsidRPr="00465608">
        <w:rPr>
          <w:rFonts w:asciiTheme="majorHAnsi" w:eastAsiaTheme="minorEastAsia" w:hAnsiTheme="majorHAnsi" w:cs="ITCAvantGardeStd-BkCn"/>
          <w:color w:val="000000"/>
          <w:sz w:val="20"/>
          <w:szCs w:val="20"/>
        </w:rPr>
        <w:t xml:space="preserve"> invites your team to examine data and reflect on the experience of Spring 2020 as a way of grounding your plans for professional learning programs for the 2020–21 academic year.</w:t>
      </w:r>
    </w:p>
    <w:p w14:paraId="7FA39121" w14:textId="77777777" w:rsidR="00263D3F" w:rsidRPr="00465608" w:rsidRDefault="00263D3F" w:rsidP="00263D3F">
      <w:pPr>
        <w:tabs>
          <w:tab w:val="left" w:pos="90"/>
        </w:tabs>
        <w:spacing w:line="240" w:lineRule="auto"/>
        <w:ind w:left="576" w:hanging="288"/>
        <w:rPr>
          <w:rFonts w:asciiTheme="majorHAnsi" w:eastAsiaTheme="minorEastAsia" w:hAnsiTheme="majorHAnsi" w:cs="ITCAvantGardeStd-BkCn"/>
          <w:color w:val="000000"/>
          <w:sz w:val="20"/>
          <w:szCs w:val="20"/>
        </w:rPr>
      </w:pPr>
      <w:r w:rsidRPr="00465608">
        <w:rPr>
          <w:rFonts w:asciiTheme="majorHAnsi" w:eastAsiaTheme="minorEastAsia" w:hAnsiTheme="majorHAnsi" w:cs="ITCAvantGardeStd-BkCn"/>
          <w:b/>
          <w:color w:val="000000"/>
          <w:sz w:val="20"/>
          <w:szCs w:val="20"/>
        </w:rPr>
        <w:t>•</w:t>
      </w:r>
      <w:r w:rsidRPr="00465608">
        <w:rPr>
          <w:rFonts w:asciiTheme="majorHAnsi" w:eastAsiaTheme="minorEastAsia" w:hAnsiTheme="majorHAnsi" w:cs="ITCAvantGardeStd-BkCn"/>
          <w:b/>
          <w:color w:val="000000"/>
          <w:sz w:val="20"/>
          <w:szCs w:val="20"/>
        </w:rPr>
        <w:tab/>
        <w:t>Worksheet Appendix.2</w:t>
      </w:r>
      <w:r w:rsidRPr="00465608">
        <w:rPr>
          <w:rFonts w:asciiTheme="majorHAnsi" w:eastAsiaTheme="minorEastAsia" w:hAnsiTheme="majorHAnsi" w:cs="ITCAvantGardeStd-BkCn"/>
          <w:color w:val="000000"/>
          <w:sz w:val="20"/>
          <w:szCs w:val="20"/>
        </w:rPr>
        <w:t xml:space="preserve"> helps you plan professional learning designed to support educators as they prepare for learning and teaching in remote and physically distanced settings.</w:t>
      </w:r>
    </w:p>
    <w:p w14:paraId="41039201" w14:textId="77777777" w:rsidR="00263D3F" w:rsidRPr="00465608" w:rsidRDefault="00263D3F" w:rsidP="00263D3F">
      <w:pPr>
        <w:tabs>
          <w:tab w:val="left" w:pos="90"/>
        </w:tabs>
        <w:spacing w:line="240" w:lineRule="auto"/>
        <w:ind w:left="576" w:hanging="288"/>
        <w:rPr>
          <w:rFonts w:asciiTheme="majorHAnsi" w:eastAsiaTheme="minorEastAsia" w:hAnsiTheme="majorHAnsi" w:cs="ITCAvantGardeStd-BkCn"/>
          <w:color w:val="000000"/>
          <w:sz w:val="20"/>
          <w:szCs w:val="20"/>
        </w:rPr>
      </w:pPr>
      <w:r w:rsidRPr="00465608">
        <w:rPr>
          <w:rFonts w:asciiTheme="majorHAnsi" w:eastAsiaTheme="minorEastAsia" w:hAnsiTheme="majorHAnsi" w:cs="ITCAvantGardeStd-BkCn"/>
          <w:b/>
          <w:color w:val="000000"/>
          <w:sz w:val="20"/>
          <w:szCs w:val="20"/>
        </w:rPr>
        <w:t>•</w:t>
      </w:r>
      <w:r w:rsidRPr="00465608">
        <w:rPr>
          <w:rFonts w:asciiTheme="majorHAnsi" w:eastAsiaTheme="minorEastAsia" w:hAnsiTheme="majorHAnsi" w:cs="ITCAvantGardeStd-BkCn"/>
          <w:b/>
          <w:color w:val="000000"/>
          <w:sz w:val="20"/>
          <w:szCs w:val="20"/>
        </w:rPr>
        <w:tab/>
        <w:t>Worksheet Appendix.3</w:t>
      </w:r>
      <w:r w:rsidRPr="00465608">
        <w:rPr>
          <w:rFonts w:asciiTheme="majorHAnsi" w:eastAsiaTheme="minorEastAsia" w:hAnsiTheme="majorHAnsi" w:cs="ITCAvantGardeStd-BkCn"/>
          <w:color w:val="000000"/>
          <w:sz w:val="20"/>
          <w:szCs w:val="20"/>
        </w:rPr>
        <w:t xml:space="preserve"> offers an equity focused Self-Assessment Tool that your professional learning programs may choose to use with faculty and staff.</w:t>
      </w:r>
    </w:p>
    <w:p w14:paraId="4105034F" w14:textId="77777777" w:rsidR="00263D3F" w:rsidRPr="00465608" w:rsidRDefault="00263D3F" w:rsidP="00263D3F">
      <w:pPr>
        <w:tabs>
          <w:tab w:val="left" w:pos="90"/>
        </w:tabs>
        <w:spacing w:line="240" w:lineRule="auto"/>
        <w:ind w:left="576" w:hanging="288"/>
        <w:rPr>
          <w:rFonts w:asciiTheme="majorHAnsi" w:eastAsiaTheme="minorEastAsia" w:hAnsiTheme="majorHAnsi" w:cs="ITCAvantGardeStd-BkCn"/>
          <w:color w:val="000000"/>
          <w:sz w:val="20"/>
          <w:szCs w:val="20"/>
        </w:rPr>
      </w:pPr>
      <w:r w:rsidRPr="00465608">
        <w:rPr>
          <w:rFonts w:asciiTheme="majorHAnsi" w:eastAsiaTheme="minorEastAsia" w:hAnsiTheme="majorHAnsi" w:cs="ITCAvantGardeStd-BkCn"/>
          <w:b/>
          <w:color w:val="000000"/>
          <w:sz w:val="20"/>
          <w:szCs w:val="20"/>
        </w:rPr>
        <w:t>•</w:t>
      </w:r>
      <w:r w:rsidRPr="00465608">
        <w:rPr>
          <w:rFonts w:asciiTheme="majorHAnsi" w:eastAsiaTheme="minorEastAsia" w:hAnsiTheme="majorHAnsi" w:cs="ITCAvantGardeStd-BkCn"/>
          <w:b/>
          <w:color w:val="000000"/>
          <w:sz w:val="20"/>
          <w:szCs w:val="20"/>
        </w:rPr>
        <w:tab/>
        <w:t>Worksheet Appendix.4</w:t>
      </w:r>
      <w:r w:rsidRPr="00465608">
        <w:rPr>
          <w:rFonts w:asciiTheme="majorHAnsi" w:eastAsiaTheme="minorEastAsia" w:hAnsiTheme="majorHAnsi" w:cs="ITCAvantGardeStd-BkCn"/>
          <w:color w:val="000000"/>
          <w:sz w:val="20"/>
          <w:szCs w:val="20"/>
        </w:rPr>
        <w:t xml:space="preserve"> supports planning for professional learning programs designed to strengthen a focus on diversity, equity, and inclusive pedagogy.</w:t>
      </w:r>
    </w:p>
    <w:p w14:paraId="785CCA75" w14:textId="77777777" w:rsidR="00263D3F" w:rsidRPr="00465608" w:rsidRDefault="00263D3F" w:rsidP="00263D3F">
      <w:pPr>
        <w:tabs>
          <w:tab w:val="left" w:pos="90"/>
        </w:tabs>
        <w:spacing w:line="240" w:lineRule="auto"/>
        <w:ind w:left="576" w:hanging="288"/>
        <w:rPr>
          <w:rFonts w:asciiTheme="majorHAnsi" w:eastAsiaTheme="minorEastAsia" w:hAnsiTheme="majorHAnsi" w:cs="ITCAvantGardeStd-BkCn"/>
          <w:color w:val="000000"/>
          <w:sz w:val="20"/>
          <w:szCs w:val="20"/>
        </w:rPr>
      </w:pPr>
      <w:r w:rsidRPr="00465608">
        <w:rPr>
          <w:rFonts w:asciiTheme="majorHAnsi" w:eastAsiaTheme="minorEastAsia" w:hAnsiTheme="majorHAnsi" w:cs="ITCAvantGardeStd-BkCn"/>
          <w:b/>
          <w:color w:val="000000"/>
          <w:sz w:val="20"/>
          <w:szCs w:val="20"/>
        </w:rPr>
        <w:t>•</w:t>
      </w:r>
      <w:r w:rsidRPr="00465608">
        <w:rPr>
          <w:rFonts w:asciiTheme="majorHAnsi" w:eastAsiaTheme="minorEastAsia" w:hAnsiTheme="majorHAnsi" w:cs="ITCAvantGardeStd-BkCn"/>
          <w:b/>
          <w:color w:val="000000"/>
          <w:sz w:val="20"/>
          <w:szCs w:val="20"/>
        </w:rPr>
        <w:tab/>
        <w:t>Worksheet Appendix.5</w:t>
      </w:r>
      <w:r w:rsidRPr="00465608">
        <w:rPr>
          <w:rFonts w:asciiTheme="majorHAnsi" w:eastAsiaTheme="minorEastAsia" w:hAnsiTheme="majorHAnsi" w:cs="ITCAvantGardeStd-BkCn"/>
          <w:color w:val="000000"/>
          <w:sz w:val="20"/>
          <w:szCs w:val="20"/>
        </w:rPr>
        <w:t xml:space="preserve"> highlights the role of adaptive learning and considers ways that we can prepare students, faculty, staff, and the campus as a whole for a future of ongoing change.</w:t>
      </w:r>
    </w:p>
    <w:p w14:paraId="1ACFE5C3" w14:textId="77777777" w:rsidR="00263D3F" w:rsidRPr="00465608" w:rsidRDefault="00263D3F" w:rsidP="00263D3F">
      <w:pPr>
        <w:tabs>
          <w:tab w:val="left" w:pos="90"/>
        </w:tabs>
        <w:spacing w:line="240" w:lineRule="auto"/>
        <w:ind w:left="-274"/>
        <w:rPr>
          <w:rFonts w:asciiTheme="majorHAnsi" w:eastAsiaTheme="minorEastAsia" w:hAnsiTheme="majorHAnsi" w:cs="ITCAvantGardeStd-BkCn"/>
          <w:color w:val="000000"/>
          <w:sz w:val="20"/>
          <w:szCs w:val="20"/>
        </w:rPr>
      </w:pPr>
      <w:r w:rsidRPr="00465608">
        <w:rPr>
          <w:rFonts w:asciiTheme="majorHAnsi" w:eastAsiaTheme="minorEastAsia" w:hAnsiTheme="majorHAnsi" w:cs="ITCAvantGardeStd-BkCn"/>
          <w:color w:val="000000"/>
          <w:sz w:val="20"/>
          <w:szCs w:val="20"/>
        </w:rPr>
        <w:t xml:space="preserve">This Appendix and all of these Worksheets will be most effective if used in conjunction with the rest of the </w:t>
      </w:r>
      <w:r w:rsidRPr="00465608">
        <w:rPr>
          <w:rFonts w:asciiTheme="majorHAnsi" w:eastAsiaTheme="minorEastAsia" w:hAnsiTheme="majorHAnsi" w:cs="ITCAvantGardeStd-BkCn"/>
          <w:i/>
          <w:iCs/>
          <w:color w:val="000000"/>
          <w:sz w:val="20"/>
          <w:szCs w:val="20"/>
        </w:rPr>
        <w:t>Teaching and Learning Toolkit</w:t>
      </w:r>
      <w:r w:rsidRPr="00465608">
        <w:rPr>
          <w:rFonts w:asciiTheme="majorHAnsi" w:eastAsiaTheme="minorEastAsia" w:hAnsiTheme="majorHAnsi" w:cs="ITCAvantGardeStd-BkCn"/>
          <w:color w:val="000000"/>
          <w:sz w:val="20"/>
          <w:szCs w:val="20"/>
        </w:rPr>
        <w:t>. They build on the discussions of key issues in previous chapters: the role of pedagogy in building equity (Chapter 1), ways to strengthen student success movements (Chapter 2), and the design of high-impact professional learning programs in (Chapters 3–5). Where at all possible, we encourage an integrated approach that is most likely to produce meaningful change.</w:t>
      </w:r>
    </w:p>
    <w:p w14:paraId="6F6EC2B4" w14:textId="00F5161B" w:rsidR="00465608" w:rsidRPr="00B85CD2" w:rsidRDefault="00465608" w:rsidP="00465608">
      <w:pPr>
        <w:spacing w:line="240" w:lineRule="auto"/>
        <w:ind w:left="-450" w:right="-90"/>
        <w:jc w:val="center"/>
        <w:rPr>
          <w:rFonts w:asciiTheme="majorHAnsi" w:hAnsiTheme="majorHAnsi"/>
          <w:color w:val="FFFFFF" w:themeColor="background1"/>
          <w:position w:val="-40"/>
          <w:sz w:val="24"/>
          <w:szCs w:val="24"/>
        </w:rPr>
      </w:pPr>
      <w:r w:rsidRPr="00B85CD2">
        <w:rPr>
          <w:rFonts w:asciiTheme="majorHAnsi" w:hAnsiTheme="majorHAnsi"/>
          <w:noProof/>
          <w:color w:val="FFFFFF" w:themeColor="background1"/>
          <w:position w:val="-40"/>
          <w:sz w:val="24"/>
          <w:szCs w:val="24"/>
        </w:rPr>
        <w:lastRenderedPageBreak/>
        <w:drawing>
          <wp:anchor distT="0" distB="0" distL="114300" distR="114300" simplePos="0" relativeHeight="251660288" behindDoc="1" locked="0" layoutInCell="1" allowOverlap="1" wp14:anchorId="12F5777B" wp14:editId="6DF57522">
            <wp:simplePos x="0" y="0"/>
            <wp:positionH relativeFrom="column">
              <wp:posOffset>-228600</wp:posOffset>
            </wp:positionH>
            <wp:positionV relativeFrom="paragraph">
              <wp:posOffset>3810</wp:posOffset>
            </wp:positionV>
            <wp:extent cx="5943600" cy="401744"/>
            <wp:effectExtent l="0" t="0" r="0" b="508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ksheet Header Graphic.png"/>
                    <pic:cNvPicPr/>
                  </pic:nvPicPr>
                  <pic:blipFill>
                    <a:blip r:embed="rId8">
                      <a:extLst>
                        <a:ext uri="{28A0092B-C50C-407E-A947-70E740481C1C}">
                          <a14:useLocalDpi xmlns:a14="http://schemas.microsoft.com/office/drawing/2010/main" val="0"/>
                        </a:ext>
                      </a:extLst>
                    </a:blip>
                    <a:stretch>
                      <a:fillRect/>
                    </a:stretch>
                  </pic:blipFill>
                  <pic:spPr>
                    <a:xfrm>
                      <a:off x="0" y="0"/>
                      <a:ext cx="5943600" cy="401744"/>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color w:val="FFFFFF" w:themeColor="background1"/>
          <w:position w:val="-40"/>
          <w:sz w:val="24"/>
          <w:szCs w:val="24"/>
        </w:rPr>
        <w:t>Worksheet Appendix.1</w:t>
      </w:r>
    </w:p>
    <w:p w14:paraId="2F8C16F9" w14:textId="77777777" w:rsidR="00465608" w:rsidRPr="00465608" w:rsidRDefault="00465608" w:rsidP="00465608">
      <w:pPr>
        <w:tabs>
          <w:tab w:val="left" w:pos="90"/>
        </w:tabs>
        <w:spacing w:before="240" w:line="240" w:lineRule="atLeast"/>
        <w:ind w:left="-274"/>
        <w:jc w:val="center"/>
        <w:rPr>
          <w:rFonts w:asciiTheme="majorHAnsi" w:hAnsiTheme="majorHAnsi"/>
          <w:b/>
          <w:color w:val="00836C"/>
          <w:sz w:val="36"/>
          <w:szCs w:val="36"/>
        </w:rPr>
      </w:pPr>
      <w:r w:rsidRPr="00465608">
        <w:rPr>
          <w:rFonts w:asciiTheme="majorHAnsi" w:hAnsiTheme="majorHAnsi"/>
          <w:b/>
          <w:color w:val="00836C"/>
          <w:sz w:val="36"/>
          <w:szCs w:val="36"/>
        </w:rPr>
        <w:t>Reflecting on Your College’s Response to COVID-19</w:t>
      </w:r>
    </w:p>
    <w:p w14:paraId="0101FBC3" w14:textId="77777777" w:rsidR="00465608" w:rsidRPr="007C5183" w:rsidRDefault="00465608" w:rsidP="00465608">
      <w:pPr>
        <w:tabs>
          <w:tab w:val="left" w:pos="90"/>
        </w:tabs>
        <w:spacing w:line="240" w:lineRule="auto"/>
        <w:ind w:left="-274"/>
        <w:rPr>
          <w:rFonts w:asciiTheme="majorHAnsi" w:eastAsiaTheme="minorEastAsia" w:hAnsiTheme="majorHAnsi" w:cs="ITCAvantGardeStd-BkCn"/>
          <w:color w:val="000000"/>
          <w:sz w:val="20"/>
          <w:szCs w:val="20"/>
        </w:rPr>
      </w:pPr>
      <w:r w:rsidRPr="007C5183">
        <w:rPr>
          <w:rFonts w:asciiTheme="majorHAnsi" w:eastAsiaTheme="minorEastAsia" w:hAnsiTheme="majorHAnsi" w:cs="ITCAvantGardeStd-BkCn"/>
          <w:color w:val="000000"/>
          <w:sz w:val="20"/>
          <w:szCs w:val="20"/>
        </w:rPr>
        <w:t xml:space="preserve">This worksheet invites you to consider the experience of your college’s Spring 2020 transition to remote learning as well as the professional learning processes your institution implemented to support educators through that transition. It draws on the power of reflection and the experiences and insights of your team. </w:t>
      </w:r>
    </w:p>
    <w:p w14:paraId="44240E21" w14:textId="77777777" w:rsidR="00465608" w:rsidRPr="007C5183" w:rsidRDefault="00465608" w:rsidP="00465608">
      <w:pPr>
        <w:tabs>
          <w:tab w:val="left" w:pos="90"/>
        </w:tabs>
        <w:spacing w:line="240" w:lineRule="auto"/>
        <w:ind w:left="-274"/>
        <w:rPr>
          <w:rFonts w:asciiTheme="majorHAnsi" w:eastAsiaTheme="minorEastAsia" w:hAnsiTheme="majorHAnsi" w:cs="ITCAvantGardeStd-BkCn"/>
          <w:color w:val="000000"/>
          <w:sz w:val="20"/>
          <w:szCs w:val="20"/>
        </w:rPr>
      </w:pPr>
      <w:r w:rsidRPr="007C5183">
        <w:rPr>
          <w:rFonts w:asciiTheme="majorHAnsi" w:eastAsiaTheme="minorEastAsia" w:hAnsiTheme="majorHAnsi" w:cs="ITCAvantGardeStd-BkCn"/>
          <w:color w:val="000000"/>
          <w:sz w:val="20"/>
          <w:szCs w:val="20"/>
        </w:rPr>
        <w:t xml:space="preserve">The conversation can be enriched if it can also draw on college-wide data about the spring experience. You may want to check with your Institutional Research office or other possible sources for data on what happened and its impact. If you have time to do a thorough examination of data, the ATD resource, </w:t>
      </w:r>
      <w:r w:rsidRPr="007C5183">
        <w:rPr>
          <w:rFonts w:asciiTheme="majorHAnsi" w:eastAsiaTheme="minorEastAsia" w:hAnsiTheme="majorHAnsi" w:cs="ITCAvantGardeStd-BkCn"/>
          <w:i/>
          <w:iCs/>
          <w:color w:val="000000"/>
          <w:sz w:val="20"/>
          <w:szCs w:val="20"/>
        </w:rPr>
        <w:t>Data-Informed Decision Making in Times of Disruption: A Guide</w:t>
      </w:r>
      <w:r w:rsidRPr="007C5183">
        <w:rPr>
          <w:rFonts w:asciiTheme="majorHAnsi" w:eastAsiaTheme="minorEastAsia" w:hAnsiTheme="majorHAnsi" w:cs="ITCAvantGardeStd-BkCn"/>
          <w:color w:val="000000"/>
          <w:sz w:val="20"/>
          <w:szCs w:val="20"/>
        </w:rPr>
        <w:t xml:space="preserve"> can provide a useful framework.</w:t>
      </w:r>
    </w:p>
    <w:p w14:paraId="363EDADC" w14:textId="77777777" w:rsidR="00465608" w:rsidRPr="007C5183" w:rsidRDefault="00465608" w:rsidP="00465608">
      <w:pPr>
        <w:tabs>
          <w:tab w:val="left" w:pos="90"/>
        </w:tabs>
        <w:spacing w:line="240" w:lineRule="auto"/>
        <w:ind w:left="-274"/>
        <w:rPr>
          <w:rFonts w:asciiTheme="majorHAnsi" w:eastAsiaTheme="minorEastAsia" w:hAnsiTheme="majorHAnsi" w:cs="ITCAvantGardeStd-BkCn"/>
          <w:color w:val="000000"/>
          <w:sz w:val="20"/>
          <w:szCs w:val="20"/>
        </w:rPr>
      </w:pPr>
      <w:r w:rsidRPr="007C5183">
        <w:rPr>
          <w:rFonts w:asciiTheme="majorHAnsi" w:eastAsiaTheme="minorEastAsia" w:hAnsiTheme="majorHAnsi" w:cs="ITCAvantGardeStd-BkCn"/>
          <w:color w:val="000000"/>
          <w:sz w:val="20"/>
          <w:szCs w:val="20"/>
        </w:rPr>
        <w:t xml:space="preserve">Depending on your team’s size, you may want to do this activity as a jigsaw—assigning questions 1 and 2 to distinct small groups. Once these groups have completed their series of questions, gather to share insights and discuss question 3. </w:t>
      </w:r>
    </w:p>
    <w:p w14:paraId="245F0B2E" w14:textId="77777777" w:rsidR="00465608" w:rsidRPr="007C5183" w:rsidRDefault="00465608" w:rsidP="00465608">
      <w:pPr>
        <w:tabs>
          <w:tab w:val="left" w:pos="90"/>
        </w:tabs>
        <w:spacing w:line="240" w:lineRule="auto"/>
        <w:ind w:left="-274"/>
        <w:rPr>
          <w:rFonts w:asciiTheme="majorHAnsi" w:eastAsiaTheme="minorEastAsia" w:hAnsiTheme="majorHAnsi" w:cs="ITCAvantGardeStd-BkCn"/>
          <w:color w:val="000000"/>
          <w:sz w:val="20"/>
          <w:szCs w:val="20"/>
        </w:rPr>
      </w:pPr>
      <w:r w:rsidRPr="007C5183">
        <w:rPr>
          <w:rFonts w:asciiTheme="majorHAnsi" w:eastAsiaTheme="minorEastAsia" w:hAnsiTheme="majorHAnsi" w:cs="ITCAvantGardeStd-BkCn"/>
          <w:color w:val="000000"/>
          <w:sz w:val="20"/>
          <w:szCs w:val="20"/>
        </w:rPr>
        <w:t>You will want to build on this discussion and apply what you have learned about the past several months as you approach the next worksheet, which asks you to look ahead to the coming year. Keeping good notes on your conversation will help.</w:t>
      </w:r>
    </w:p>
    <w:p w14:paraId="6D3CB4B5" w14:textId="77777777" w:rsidR="00465608" w:rsidRPr="007C5183" w:rsidRDefault="00465608" w:rsidP="00465608">
      <w:pPr>
        <w:tabs>
          <w:tab w:val="left" w:pos="90"/>
        </w:tabs>
        <w:spacing w:line="240" w:lineRule="auto"/>
        <w:ind w:left="576" w:hanging="288"/>
        <w:rPr>
          <w:rFonts w:asciiTheme="majorHAnsi" w:eastAsiaTheme="minorEastAsia" w:hAnsiTheme="majorHAnsi" w:cs="ITCAvantGardeStd-BkCn"/>
          <w:color w:val="000000"/>
          <w:sz w:val="20"/>
          <w:szCs w:val="20"/>
        </w:rPr>
      </w:pPr>
      <w:r w:rsidRPr="007C5183">
        <w:rPr>
          <w:rFonts w:asciiTheme="majorHAnsi" w:eastAsiaTheme="minorEastAsia" w:hAnsiTheme="majorHAnsi" w:cs="ITCAvantGardeStd-BkCn"/>
          <w:color w:val="000000"/>
          <w:sz w:val="20"/>
          <w:szCs w:val="20"/>
        </w:rPr>
        <w:t>1.</w:t>
      </w:r>
      <w:r w:rsidRPr="007C5183">
        <w:rPr>
          <w:rFonts w:asciiTheme="majorHAnsi" w:eastAsiaTheme="minorEastAsia" w:hAnsiTheme="majorHAnsi" w:cs="ITCAvantGardeStd-BkCn"/>
          <w:color w:val="000000"/>
          <w:sz w:val="20"/>
          <w:szCs w:val="20"/>
        </w:rPr>
        <w:tab/>
        <w:t xml:space="preserve">Please reflect on what your college did to navigate the sudden transition to remote learning in Spring 2020. </w:t>
      </w:r>
    </w:p>
    <w:p w14:paraId="4CED6B28" w14:textId="77777777" w:rsidR="00465608" w:rsidRPr="007C5183" w:rsidRDefault="00465608" w:rsidP="00465608">
      <w:pPr>
        <w:tabs>
          <w:tab w:val="left" w:pos="90"/>
        </w:tabs>
        <w:spacing w:line="240" w:lineRule="auto"/>
        <w:ind w:left="864" w:hanging="288"/>
        <w:rPr>
          <w:rFonts w:asciiTheme="majorHAnsi" w:eastAsiaTheme="minorEastAsia" w:hAnsiTheme="majorHAnsi" w:cs="ITCAvantGardeStd-BkCn"/>
          <w:color w:val="000000"/>
          <w:sz w:val="20"/>
          <w:szCs w:val="20"/>
        </w:rPr>
      </w:pPr>
      <w:r w:rsidRPr="007C5183">
        <w:rPr>
          <w:rFonts w:asciiTheme="majorHAnsi" w:eastAsiaTheme="minorEastAsia" w:hAnsiTheme="majorHAnsi" w:cs="ITCAvantGardeStd-BkCn"/>
          <w:color w:val="000000"/>
          <w:sz w:val="20"/>
          <w:szCs w:val="20"/>
        </w:rPr>
        <w:t>a. What did this transition look like in the context of your college’s culture of student success? What was the experience of students? Of faculty and staff?</w:t>
      </w:r>
    </w:p>
    <w:p w14:paraId="4B34AA7B" w14:textId="77777777" w:rsidR="00465608" w:rsidRPr="007C5183" w:rsidRDefault="00465608" w:rsidP="00465608">
      <w:pPr>
        <w:tabs>
          <w:tab w:val="left" w:pos="90"/>
        </w:tabs>
        <w:spacing w:line="240" w:lineRule="auto"/>
        <w:ind w:left="864" w:hanging="288"/>
        <w:rPr>
          <w:rFonts w:asciiTheme="majorHAnsi" w:eastAsiaTheme="minorEastAsia" w:hAnsiTheme="majorHAnsi" w:cs="ITCAvantGardeStd-BkCn"/>
          <w:color w:val="000000"/>
          <w:sz w:val="20"/>
          <w:szCs w:val="20"/>
        </w:rPr>
      </w:pPr>
      <w:r w:rsidRPr="007C5183">
        <w:rPr>
          <w:rFonts w:asciiTheme="majorHAnsi" w:eastAsiaTheme="minorEastAsia" w:hAnsiTheme="majorHAnsi" w:cs="ITCAvantGardeStd-BkCn"/>
          <w:color w:val="000000"/>
          <w:sz w:val="20"/>
          <w:szCs w:val="20"/>
        </w:rPr>
        <w:t>b. In what ways was the college able to ground its response in equity? Was the experience different for different groups of students? How?</w:t>
      </w:r>
    </w:p>
    <w:p w14:paraId="3E7D1F6E" w14:textId="77777777" w:rsidR="00465608" w:rsidRPr="007C5183" w:rsidRDefault="00465608" w:rsidP="00465608">
      <w:pPr>
        <w:tabs>
          <w:tab w:val="left" w:pos="90"/>
        </w:tabs>
        <w:spacing w:line="240" w:lineRule="auto"/>
        <w:ind w:left="864" w:hanging="288"/>
        <w:rPr>
          <w:rFonts w:asciiTheme="majorHAnsi" w:eastAsiaTheme="minorEastAsia" w:hAnsiTheme="majorHAnsi" w:cs="ITCAvantGardeStd-BkCn"/>
          <w:color w:val="000000"/>
          <w:sz w:val="20"/>
          <w:szCs w:val="20"/>
        </w:rPr>
      </w:pPr>
      <w:r w:rsidRPr="007C5183">
        <w:rPr>
          <w:rFonts w:asciiTheme="majorHAnsi" w:eastAsiaTheme="minorEastAsia" w:hAnsiTheme="majorHAnsi" w:cs="ITCAvantGardeStd-BkCn"/>
          <w:color w:val="000000"/>
          <w:sz w:val="20"/>
          <w:szCs w:val="20"/>
        </w:rPr>
        <w:t>c. How has the college used data to assess its successes and challenges in the transition? What does the data reveal?</w:t>
      </w:r>
    </w:p>
    <w:p w14:paraId="612B8445" w14:textId="77777777" w:rsidR="00465608" w:rsidRPr="007C5183" w:rsidRDefault="00465608" w:rsidP="00465608">
      <w:pPr>
        <w:tabs>
          <w:tab w:val="left" w:pos="90"/>
        </w:tabs>
        <w:spacing w:line="240" w:lineRule="auto"/>
        <w:ind w:left="864" w:hanging="288"/>
        <w:rPr>
          <w:rFonts w:asciiTheme="majorHAnsi" w:eastAsiaTheme="minorEastAsia" w:hAnsiTheme="majorHAnsi" w:cs="ITCAvantGardeStd-BkCn"/>
          <w:color w:val="000000"/>
          <w:sz w:val="20"/>
          <w:szCs w:val="20"/>
        </w:rPr>
      </w:pPr>
      <w:r w:rsidRPr="007C5183">
        <w:rPr>
          <w:rFonts w:asciiTheme="majorHAnsi" w:eastAsiaTheme="minorEastAsia" w:hAnsiTheme="majorHAnsi" w:cs="ITCAvantGardeStd-BkCn"/>
          <w:color w:val="000000"/>
          <w:sz w:val="20"/>
          <w:szCs w:val="20"/>
        </w:rPr>
        <w:t>d. What does the data reveal? What went particularly well, and why? What did not go as well, and why?</w:t>
      </w:r>
    </w:p>
    <w:p w14:paraId="5D7E2594" w14:textId="77777777" w:rsidR="00465608" w:rsidRPr="007C5183" w:rsidRDefault="00465608" w:rsidP="00465608">
      <w:pPr>
        <w:tabs>
          <w:tab w:val="left" w:pos="90"/>
        </w:tabs>
        <w:spacing w:line="240" w:lineRule="auto"/>
        <w:ind w:left="576" w:hanging="288"/>
        <w:rPr>
          <w:rFonts w:asciiTheme="majorHAnsi" w:eastAsiaTheme="minorEastAsia" w:hAnsiTheme="majorHAnsi" w:cs="ITCAvantGardeStd-BkCn"/>
          <w:color w:val="000000"/>
          <w:sz w:val="20"/>
          <w:szCs w:val="20"/>
        </w:rPr>
      </w:pPr>
      <w:r w:rsidRPr="007C5183">
        <w:rPr>
          <w:rFonts w:asciiTheme="majorHAnsi" w:eastAsiaTheme="minorEastAsia" w:hAnsiTheme="majorHAnsi" w:cs="ITCAvantGardeStd-BkCn"/>
          <w:color w:val="000000"/>
          <w:sz w:val="20"/>
          <w:szCs w:val="20"/>
        </w:rPr>
        <w:t>2.</w:t>
      </w:r>
      <w:r w:rsidRPr="007C5183">
        <w:rPr>
          <w:rFonts w:asciiTheme="majorHAnsi" w:eastAsiaTheme="minorEastAsia" w:hAnsiTheme="majorHAnsi" w:cs="ITCAvantGardeStd-BkCn"/>
          <w:color w:val="000000"/>
          <w:sz w:val="20"/>
          <w:szCs w:val="20"/>
        </w:rPr>
        <w:tab/>
        <w:t>Drawing on data and your team’s experiences, what can you say about how well your college transitioned to remote learning this spring?</w:t>
      </w:r>
    </w:p>
    <w:p w14:paraId="4B7488CA" w14:textId="77777777" w:rsidR="00465608" w:rsidRPr="007C5183" w:rsidRDefault="00465608" w:rsidP="00465608">
      <w:pPr>
        <w:tabs>
          <w:tab w:val="left" w:pos="90"/>
        </w:tabs>
        <w:spacing w:line="240" w:lineRule="auto"/>
        <w:ind w:left="864" w:hanging="288"/>
        <w:rPr>
          <w:rFonts w:asciiTheme="majorHAnsi" w:eastAsiaTheme="minorEastAsia" w:hAnsiTheme="majorHAnsi" w:cs="ITCAvantGardeStd-BkCn"/>
          <w:color w:val="000000"/>
          <w:sz w:val="20"/>
          <w:szCs w:val="20"/>
        </w:rPr>
      </w:pPr>
      <w:r w:rsidRPr="007C5183">
        <w:rPr>
          <w:rFonts w:asciiTheme="majorHAnsi" w:eastAsiaTheme="minorEastAsia" w:hAnsiTheme="majorHAnsi" w:cs="ITCAvantGardeStd-BkCn"/>
          <w:color w:val="000000"/>
          <w:sz w:val="20"/>
          <w:szCs w:val="20"/>
        </w:rPr>
        <w:t>a. What do you know about the pedagogical approaches used by faculty? What was lost or gained in the transition to remote learning?</w:t>
      </w:r>
    </w:p>
    <w:p w14:paraId="50B0880C" w14:textId="77777777" w:rsidR="00465608" w:rsidRPr="007C5183" w:rsidRDefault="00465608" w:rsidP="00465608">
      <w:pPr>
        <w:tabs>
          <w:tab w:val="left" w:pos="90"/>
        </w:tabs>
        <w:spacing w:line="240" w:lineRule="auto"/>
        <w:ind w:left="864" w:hanging="288"/>
        <w:rPr>
          <w:rFonts w:asciiTheme="majorHAnsi" w:eastAsiaTheme="minorEastAsia" w:hAnsiTheme="majorHAnsi" w:cs="ITCAvantGardeStd-BkCn"/>
          <w:color w:val="000000"/>
          <w:sz w:val="20"/>
          <w:szCs w:val="20"/>
        </w:rPr>
      </w:pPr>
      <w:r w:rsidRPr="007C5183">
        <w:rPr>
          <w:rFonts w:asciiTheme="majorHAnsi" w:eastAsiaTheme="minorEastAsia" w:hAnsiTheme="majorHAnsi" w:cs="ITCAvantGardeStd-BkCn"/>
          <w:color w:val="000000"/>
          <w:sz w:val="20"/>
          <w:szCs w:val="20"/>
        </w:rPr>
        <w:t>b. What professional learning processes were reframed or newly implemented to support the changes educators needed to make? What worked well? What additional support would have been helpful?</w:t>
      </w:r>
    </w:p>
    <w:p w14:paraId="1F6005F5" w14:textId="77777777" w:rsidR="00465608" w:rsidRPr="007C5183" w:rsidRDefault="00465608" w:rsidP="00465608">
      <w:pPr>
        <w:tabs>
          <w:tab w:val="left" w:pos="90"/>
        </w:tabs>
        <w:spacing w:line="240" w:lineRule="auto"/>
        <w:ind w:left="864" w:hanging="288"/>
        <w:rPr>
          <w:rFonts w:asciiTheme="majorHAnsi" w:eastAsiaTheme="minorEastAsia" w:hAnsiTheme="majorHAnsi" w:cs="ITCAvantGardeStd-BkCn"/>
          <w:color w:val="000000"/>
          <w:sz w:val="20"/>
          <w:szCs w:val="20"/>
        </w:rPr>
      </w:pPr>
      <w:r w:rsidRPr="007C5183">
        <w:rPr>
          <w:rFonts w:asciiTheme="majorHAnsi" w:eastAsiaTheme="minorEastAsia" w:hAnsiTheme="majorHAnsi" w:cs="ITCAvantGardeStd-BkCn"/>
          <w:color w:val="000000"/>
          <w:sz w:val="20"/>
          <w:szCs w:val="20"/>
        </w:rPr>
        <w:t>c. How did you leverage your Professional Learning Hub to support this work?</w:t>
      </w:r>
    </w:p>
    <w:p w14:paraId="41D15A6D" w14:textId="77777777" w:rsidR="00465608" w:rsidRPr="007C5183" w:rsidRDefault="00465608" w:rsidP="00465608">
      <w:pPr>
        <w:tabs>
          <w:tab w:val="left" w:pos="90"/>
        </w:tabs>
        <w:spacing w:line="240" w:lineRule="auto"/>
        <w:ind w:left="576" w:hanging="288"/>
        <w:rPr>
          <w:rFonts w:asciiTheme="majorHAnsi" w:eastAsiaTheme="minorEastAsia" w:hAnsiTheme="majorHAnsi" w:cs="ITCAvantGardeStd-BkCn"/>
          <w:color w:val="000000"/>
          <w:sz w:val="20"/>
          <w:szCs w:val="20"/>
        </w:rPr>
      </w:pPr>
      <w:r w:rsidRPr="007C5183">
        <w:rPr>
          <w:rFonts w:asciiTheme="majorHAnsi" w:eastAsiaTheme="minorEastAsia" w:hAnsiTheme="majorHAnsi" w:cs="ITCAvantGardeStd-BkCn"/>
          <w:color w:val="000000"/>
          <w:sz w:val="20"/>
          <w:szCs w:val="20"/>
        </w:rPr>
        <w:t>3.</w:t>
      </w:r>
      <w:r w:rsidRPr="007C5183">
        <w:rPr>
          <w:rFonts w:asciiTheme="majorHAnsi" w:eastAsiaTheme="minorEastAsia" w:hAnsiTheme="majorHAnsi" w:cs="ITCAvantGardeStd-BkCn"/>
          <w:color w:val="000000"/>
          <w:sz w:val="20"/>
          <w:szCs w:val="20"/>
        </w:rPr>
        <w:tab/>
        <w:t>What are one to two key lessons learned from your college’s response to COVID-19 that will impact your teaching and learning work in the future?</w:t>
      </w:r>
    </w:p>
    <w:p w14:paraId="1786D9F2" w14:textId="77777777" w:rsidR="00465608" w:rsidRPr="007C5183" w:rsidRDefault="00465608" w:rsidP="00465608">
      <w:pPr>
        <w:tabs>
          <w:tab w:val="left" w:pos="90"/>
        </w:tabs>
        <w:spacing w:line="240" w:lineRule="auto"/>
        <w:ind w:left="864" w:hanging="288"/>
        <w:rPr>
          <w:rFonts w:asciiTheme="majorHAnsi" w:eastAsiaTheme="minorEastAsia" w:hAnsiTheme="majorHAnsi" w:cs="ITCAvantGardeStd-BkCn"/>
          <w:color w:val="000000"/>
          <w:sz w:val="20"/>
          <w:szCs w:val="20"/>
        </w:rPr>
      </w:pPr>
      <w:r w:rsidRPr="007C5183">
        <w:rPr>
          <w:rFonts w:asciiTheme="majorHAnsi" w:eastAsiaTheme="minorEastAsia" w:hAnsiTheme="majorHAnsi" w:cs="ITCAvantGardeStd-BkCn"/>
          <w:color w:val="000000"/>
          <w:sz w:val="20"/>
          <w:szCs w:val="20"/>
        </w:rPr>
        <w:t xml:space="preserve">a. What worked well? What strengths can you build on? </w:t>
      </w:r>
    </w:p>
    <w:p w14:paraId="2B63E44B" w14:textId="77777777" w:rsidR="00465608" w:rsidRPr="007C5183" w:rsidRDefault="00465608" w:rsidP="00465608">
      <w:pPr>
        <w:tabs>
          <w:tab w:val="left" w:pos="90"/>
        </w:tabs>
        <w:spacing w:line="240" w:lineRule="auto"/>
        <w:ind w:left="864" w:hanging="288"/>
        <w:rPr>
          <w:rFonts w:asciiTheme="majorHAnsi" w:eastAsiaTheme="minorEastAsia" w:hAnsiTheme="majorHAnsi" w:cs="ITCAvantGardeStd-BkCn"/>
          <w:color w:val="000000"/>
          <w:sz w:val="20"/>
          <w:szCs w:val="20"/>
        </w:rPr>
      </w:pPr>
      <w:r w:rsidRPr="007C5183">
        <w:rPr>
          <w:rFonts w:asciiTheme="majorHAnsi" w:eastAsiaTheme="minorEastAsia" w:hAnsiTheme="majorHAnsi" w:cs="ITCAvantGardeStd-BkCn"/>
          <w:color w:val="000000"/>
          <w:sz w:val="20"/>
          <w:szCs w:val="20"/>
        </w:rPr>
        <w:t>b. What gaps emerged? What needs to be addressed or improved?</w:t>
      </w:r>
    </w:p>
    <w:p w14:paraId="189972BB" w14:textId="3239E0BF" w:rsidR="007450C0" w:rsidRPr="007C5183" w:rsidRDefault="00465608" w:rsidP="00465608">
      <w:pPr>
        <w:tabs>
          <w:tab w:val="left" w:pos="90"/>
        </w:tabs>
        <w:spacing w:line="240" w:lineRule="auto"/>
        <w:ind w:left="864" w:hanging="288"/>
        <w:rPr>
          <w:rFonts w:asciiTheme="majorHAnsi" w:eastAsiaTheme="minorEastAsia" w:hAnsiTheme="majorHAnsi" w:cs="ITCAvantGardeStd-BkCn"/>
          <w:color w:val="000000"/>
          <w:sz w:val="20"/>
          <w:szCs w:val="20"/>
        </w:rPr>
      </w:pPr>
      <w:r w:rsidRPr="007C5183">
        <w:rPr>
          <w:rFonts w:asciiTheme="majorHAnsi" w:eastAsiaTheme="minorEastAsia" w:hAnsiTheme="majorHAnsi" w:cs="ITCAvantGardeStd-BkCn"/>
          <w:color w:val="000000"/>
          <w:sz w:val="20"/>
          <w:szCs w:val="20"/>
        </w:rPr>
        <w:t>c. Can you identify any practices that were suspended that you would prefer not to return to? Might there be new approaches that you now want to preserve going forward?</w:t>
      </w:r>
    </w:p>
    <w:p w14:paraId="0BA103C6" w14:textId="7E0D469C" w:rsidR="007C5183" w:rsidRPr="00B85CD2" w:rsidRDefault="007C5183" w:rsidP="007C5183">
      <w:pPr>
        <w:spacing w:line="240" w:lineRule="auto"/>
        <w:ind w:left="-450" w:right="-90"/>
        <w:jc w:val="center"/>
        <w:rPr>
          <w:rFonts w:asciiTheme="majorHAnsi" w:hAnsiTheme="majorHAnsi"/>
          <w:color w:val="FFFFFF" w:themeColor="background1"/>
          <w:position w:val="-40"/>
          <w:sz w:val="24"/>
          <w:szCs w:val="24"/>
        </w:rPr>
      </w:pPr>
      <w:r w:rsidRPr="00B85CD2">
        <w:rPr>
          <w:rFonts w:asciiTheme="majorHAnsi" w:hAnsiTheme="majorHAnsi"/>
          <w:noProof/>
          <w:color w:val="FFFFFF" w:themeColor="background1"/>
          <w:position w:val="-40"/>
          <w:sz w:val="24"/>
          <w:szCs w:val="24"/>
        </w:rPr>
        <w:lastRenderedPageBreak/>
        <w:drawing>
          <wp:anchor distT="0" distB="0" distL="114300" distR="114300" simplePos="0" relativeHeight="251662336" behindDoc="1" locked="0" layoutInCell="1" allowOverlap="1" wp14:anchorId="3001A3BE" wp14:editId="49F38D4F">
            <wp:simplePos x="0" y="0"/>
            <wp:positionH relativeFrom="column">
              <wp:posOffset>-228600</wp:posOffset>
            </wp:positionH>
            <wp:positionV relativeFrom="paragraph">
              <wp:posOffset>3810</wp:posOffset>
            </wp:positionV>
            <wp:extent cx="5943600" cy="401744"/>
            <wp:effectExtent l="0" t="0" r="0" b="508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ksheet Header Graphic.png"/>
                    <pic:cNvPicPr/>
                  </pic:nvPicPr>
                  <pic:blipFill>
                    <a:blip r:embed="rId8">
                      <a:extLst>
                        <a:ext uri="{28A0092B-C50C-407E-A947-70E740481C1C}">
                          <a14:useLocalDpi xmlns:a14="http://schemas.microsoft.com/office/drawing/2010/main" val="0"/>
                        </a:ext>
                      </a:extLst>
                    </a:blip>
                    <a:stretch>
                      <a:fillRect/>
                    </a:stretch>
                  </pic:blipFill>
                  <pic:spPr>
                    <a:xfrm>
                      <a:off x="0" y="0"/>
                      <a:ext cx="5943600" cy="401744"/>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color w:val="FFFFFF" w:themeColor="background1"/>
          <w:position w:val="-40"/>
          <w:sz w:val="24"/>
          <w:szCs w:val="24"/>
        </w:rPr>
        <w:t>Worksheet Appendix.</w:t>
      </w:r>
      <w:r w:rsidR="00A61E2A">
        <w:rPr>
          <w:rFonts w:asciiTheme="majorHAnsi" w:hAnsiTheme="majorHAnsi"/>
          <w:color w:val="FFFFFF" w:themeColor="background1"/>
          <w:position w:val="-40"/>
          <w:sz w:val="24"/>
          <w:szCs w:val="24"/>
        </w:rPr>
        <w:t>2</w:t>
      </w:r>
    </w:p>
    <w:p w14:paraId="5E0F89EA" w14:textId="77777777" w:rsidR="00A61E2A" w:rsidRPr="00A61E2A" w:rsidRDefault="00A61E2A" w:rsidP="00A61E2A">
      <w:pPr>
        <w:tabs>
          <w:tab w:val="left" w:pos="90"/>
        </w:tabs>
        <w:spacing w:before="240" w:line="240" w:lineRule="atLeast"/>
        <w:ind w:left="-274"/>
        <w:jc w:val="center"/>
        <w:rPr>
          <w:rFonts w:asciiTheme="majorHAnsi" w:hAnsiTheme="majorHAnsi"/>
          <w:b/>
          <w:color w:val="00836C"/>
          <w:sz w:val="36"/>
          <w:szCs w:val="36"/>
        </w:rPr>
      </w:pPr>
      <w:r w:rsidRPr="00A61E2A">
        <w:rPr>
          <w:rFonts w:asciiTheme="majorHAnsi" w:hAnsiTheme="majorHAnsi"/>
          <w:b/>
          <w:color w:val="00836C"/>
          <w:sz w:val="36"/>
          <w:szCs w:val="36"/>
        </w:rPr>
        <w:t xml:space="preserve">Planning Professional Development </w:t>
      </w:r>
      <w:r w:rsidRPr="00A61E2A">
        <w:rPr>
          <w:rFonts w:asciiTheme="majorHAnsi" w:hAnsiTheme="majorHAnsi"/>
          <w:b/>
          <w:color w:val="00836C"/>
          <w:sz w:val="36"/>
          <w:szCs w:val="36"/>
        </w:rPr>
        <w:br/>
        <w:t>for Fall 2020 and Beyond</w:t>
      </w:r>
    </w:p>
    <w:p w14:paraId="57257804" w14:textId="77777777" w:rsidR="00A61E2A" w:rsidRPr="00A61E2A" w:rsidRDefault="00A61E2A" w:rsidP="00A61E2A">
      <w:pPr>
        <w:tabs>
          <w:tab w:val="left" w:pos="90"/>
        </w:tabs>
        <w:spacing w:line="240" w:lineRule="auto"/>
        <w:ind w:left="-274"/>
        <w:rPr>
          <w:rFonts w:asciiTheme="majorHAnsi" w:eastAsiaTheme="minorEastAsia" w:hAnsiTheme="majorHAnsi" w:cs="ITCAvantGardeStd-BkCn"/>
          <w:color w:val="000000"/>
        </w:rPr>
      </w:pPr>
      <w:r w:rsidRPr="00A61E2A">
        <w:rPr>
          <w:rFonts w:asciiTheme="majorHAnsi" w:eastAsiaTheme="minorEastAsia" w:hAnsiTheme="majorHAnsi" w:cs="ITCAvantGardeStd-BkCn"/>
          <w:color w:val="000000"/>
        </w:rPr>
        <w:t>Drawing on your expertise and what you learned from Spring 2020, build your plans for professional development support for Fall 2020 and beyond. Consider your campus context and establish meaningful goals, and develop practical plans to reach those goals.</w:t>
      </w:r>
    </w:p>
    <w:p w14:paraId="537A26B7" w14:textId="77777777" w:rsidR="00A61E2A" w:rsidRPr="00A61E2A" w:rsidRDefault="00A61E2A" w:rsidP="00A61E2A">
      <w:pPr>
        <w:tabs>
          <w:tab w:val="left" w:pos="90"/>
        </w:tabs>
        <w:spacing w:line="240" w:lineRule="auto"/>
        <w:ind w:left="-274"/>
        <w:rPr>
          <w:rFonts w:asciiTheme="majorHAnsi" w:eastAsiaTheme="minorEastAsia" w:hAnsiTheme="majorHAnsi" w:cs="ITCAvantGardeStd-BkCn"/>
          <w:color w:val="000000"/>
        </w:rPr>
      </w:pPr>
      <w:r w:rsidRPr="00A61E2A">
        <w:rPr>
          <w:rFonts w:asciiTheme="majorHAnsi" w:eastAsiaTheme="minorEastAsia" w:hAnsiTheme="majorHAnsi" w:cs="ITCAvantGardeStd-BkCn"/>
          <w:color w:val="000000"/>
        </w:rPr>
        <w:t>As you work, we encourage you to draw on what you learned about effective pedagogy and high-impact professional development, drawing especially on the Good Practice Principles (GPPs) for professional learning. The principles discussed in Chapter 3 (Individual and Community) may be particularly applicable.</w:t>
      </w:r>
    </w:p>
    <w:p w14:paraId="102C1E97" w14:textId="77777777" w:rsidR="00A61E2A" w:rsidRPr="00A61E2A" w:rsidRDefault="00A61E2A" w:rsidP="00A61E2A">
      <w:pPr>
        <w:tabs>
          <w:tab w:val="left" w:pos="90"/>
        </w:tabs>
        <w:spacing w:line="240" w:lineRule="auto"/>
        <w:ind w:left="-274"/>
        <w:rPr>
          <w:rFonts w:asciiTheme="majorHAnsi" w:eastAsiaTheme="minorEastAsia" w:hAnsiTheme="majorHAnsi" w:cs="ITCAvantGardeStd-BkCn"/>
          <w:color w:val="000000"/>
        </w:rPr>
      </w:pPr>
      <w:r w:rsidRPr="00A61E2A">
        <w:rPr>
          <w:rFonts w:asciiTheme="majorHAnsi" w:eastAsiaTheme="minorEastAsia" w:hAnsiTheme="majorHAnsi" w:cs="ITCAvantGardeStd-BkCn"/>
          <w:color w:val="000000"/>
        </w:rPr>
        <w:t>If possible, you will find it useful to review selected resources from Sidebar Appendix.1 as part of the preparation for this work, particularly the questions listed under item 2 below. You might consider a jigsaw approach, assigning different resources to different members of your team, inviting all to contribute what they learn to discussion organized around these prompts.</w:t>
      </w:r>
    </w:p>
    <w:p w14:paraId="079E2DBF" w14:textId="77777777" w:rsidR="00A61E2A" w:rsidRPr="00A61E2A" w:rsidRDefault="00A61E2A" w:rsidP="00BC3342">
      <w:pPr>
        <w:tabs>
          <w:tab w:val="left" w:pos="90"/>
        </w:tabs>
        <w:spacing w:line="240" w:lineRule="auto"/>
        <w:ind w:left="576" w:hanging="288"/>
        <w:rPr>
          <w:rFonts w:asciiTheme="majorHAnsi" w:eastAsiaTheme="minorEastAsia" w:hAnsiTheme="majorHAnsi" w:cs="ITCAvantGardeStd-BkCn"/>
          <w:color w:val="000000"/>
        </w:rPr>
      </w:pPr>
      <w:r w:rsidRPr="00A61E2A">
        <w:rPr>
          <w:rFonts w:asciiTheme="majorHAnsi" w:eastAsiaTheme="minorEastAsia" w:hAnsiTheme="majorHAnsi" w:cs="ITCAvantGardeStd-BkCn"/>
          <w:color w:val="000000"/>
        </w:rPr>
        <w:t>1.</w:t>
      </w:r>
      <w:r w:rsidRPr="00A61E2A">
        <w:rPr>
          <w:rFonts w:asciiTheme="majorHAnsi" w:eastAsiaTheme="minorEastAsia" w:hAnsiTheme="majorHAnsi" w:cs="ITCAvantGardeStd-BkCn"/>
          <w:color w:val="000000"/>
        </w:rPr>
        <w:tab/>
        <w:t>What are your college’s two to three most likely scenarios for education in the 2020–21 academic year?</w:t>
      </w:r>
    </w:p>
    <w:p w14:paraId="5A4DB647" w14:textId="77777777" w:rsidR="00A61E2A" w:rsidRPr="00A61E2A" w:rsidRDefault="00A61E2A" w:rsidP="00BC3342">
      <w:pPr>
        <w:tabs>
          <w:tab w:val="left" w:pos="90"/>
        </w:tabs>
        <w:spacing w:line="240" w:lineRule="auto"/>
        <w:ind w:left="864" w:hanging="288"/>
        <w:rPr>
          <w:rFonts w:asciiTheme="majorHAnsi" w:eastAsiaTheme="minorEastAsia" w:hAnsiTheme="majorHAnsi" w:cs="ITCAvantGardeStd-BkCn"/>
          <w:color w:val="000000"/>
        </w:rPr>
      </w:pPr>
      <w:r w:rsidRPr="00A61E2A">
        <w:rPr>
          <w:rFonts w:asciiTheme="majorHAnsi" w:eastAsiaTheme="minorEastAsia" w:hAnsiTheme="majorHAnsi" w:cs="ITCAvantGardeStd-BkCn"/>
          <w:color w:val="000000"/>
        </w:rPr>
        <w:t xml:space="preserve">a. What might be the mix of remote education and physically distanced face-to-face instruction and student support? Will one model prevail college-wide, or will there be some combination of different approaches in different areas? </w:t>
      </w:r>
    </w:p>
    <w:p w14:paraId="72569CFA" w14:textId="77777777" w:rsidR="00A61E2A" w:rsidRPr="00A61E2A" w:rsidRDefault="00A61E2A" w:rsidP="00BC3342">
      <w:pPr>
        <w:tabs>
          <w:tab w:val="left" w:pos="90"/>
        </w:tabs>
        <w:spacing w:line="240" w:lineRule="auto"/>
        <w:ind w:left="864" w:hanging="288"/>
        <w:rPr>
          <w:rFonts w:asciiTheme="majorHAnsi" w:eastAsiaTheme="minorEastAsia" w:hAnsiTheme="majorHAnsi" w:cs="ITCAvantGardeStd-BkCn"/>
          <w:color w:val="000000"/>
        </w:rPr>
      </w:pPr>
      <w:r w:rsidRPr="00A61E2A">
        <w:rPr>
          <w:rFonts w:asciiTheme="majorHAnsi" w:eastAsiaTheme="minorEastAsia" w:hAnsiTheme="majorHAnsi" w:cs="ITCAvantGardeStd-BkCn"/>
          <w:color w:val="000000"/>
        </w:rPr>
        <w:t xml:space="preserve">b. What do you know about how and when decisions are being made about this? </w:t>
      </w:r>
    </w:p>
    <w:p w14:paraId="7FD12531" w14:textId="77777777" w:rsidR="00A61E2A" w:rsidRPr="00A61E2A" w:rsidRDefault="00A61E2A" w:rsidP="00BC3342">
      <w:pPr>
        <w:tabs>
          <w:tab w:val="left" w:pos="90"/>
        </w:tabs>
        <w:spacing w:line="240" w:lineRule="auto"/>
        <w:ind w:left="864" w:hanging="288"/>
        <w:rPr>
          <w:rFonts w:asciiTheme="majorHAnsi" w:eastAsiaTheme="minorEastAsia" w:hAnsiTheme="majorHAnsi" w:cs="ITCAvantGardeStd-BkCn"/>
          <w:color w:val="000000"/>
        </w:rPr>
      </w:pPr>
      <w:r w:rsidRPr="00A61E2A">
        <w:rPr>
          <w:rFonts w:asciiTheme="majorHAnsi" w:eastAsiaTheme="minorEastAsia" w:hAnsiTheme="majorHAnsi" w:cs="ITCAvantGardeStd-BkCn"/>
          <w:color w:val="000000"/>
        </w:rPr>
        <w:t>c. Are contingency plans being made in case there is a second wave of the pandemic?</w:t>
      </w:r>
    </w:p>
    <w:p w14:paraId="158CCB1B" w14:textId="77777777" w:rsidR="00A61E2A" w:rsidRPr="00A61E2A" w:rsidRDefault="00A61E2A" w:rsidP="00BC3342">
      <w:pPr>
        <w:tabs>
          <w:tab w:val="left" w:pos="90"/>
        </w:tabs>
        <w:spacing w:line="240" w:lineRule="auto"/>
        <w:ind w:left="576" w:hanging="288"/>
        <w:rPr>
          <w:rFonts w:asciiTheme="majorHAnsi" w:eastAsiaTheme="minorEastAsia" w:hAnsiTheme="majorHAnsi" w:cs="ITCAvantGardeStd-BkCn"/>
          <w:color w:val="000000"/>
        </w:rPr>
      </w:pPr>
      <w:r w:rsidRPr="00A61E2A">
        <w:rPr>
          <w:rFonts w:asciiTheme="majorHAnsi" w:eastAsiaTheme="minorEastAsia" w:hAnsiTheme="majorHAnsi" w:cs="ITCAvantGardeStd-BkCn"/>
          <w:color w:val="000000"/>
        </w:rPr>
        <w:t>2.</w:t>
      </w:r>
      <w:r w:rsidRPr="00A61E2A">
        <w:rPr>
          <w:rFonts w:asciiTheme="majorHAnsi" w:eastAsiaTheme="minorEastAsia" w:hAnsiTheme="majorHAnsi" w:cs="ITCAvantGardeStd-BkCn"/>
          <w:color w:val="000000"/>
        </w:rPr>
        <w:tab/>
        <w:t xml:space="preserve">Given these possible scenarios, what active learning approaches could educators use to build student engagement, learning, and success in the fall? What strategies would you hope to encourage? </w:t>
      </w:r>
    </w:p>
    <w:p w14:paraId="5558797D" w14:textId="77777777" w:rsidR="00A61E2A" w:rsidRPr="00A61E2A" w:rsidRDefault="00A61E2A" w:rsidP="00BC3342">
      <w:pPr>
        <w:tabs>
          <w:tab w:val="left" w:pos="90"/>
        </w:tabs>
        <w:spacing w:line="240" w:lineRule="auto"/>
        <w:ind w:left="864" w:hanging="288"/>
        <w:rPr>
          <w:rFonts w:asciiTheme="majorHAnsi" w:eastAsiaTheme="minorEastAsia" w:hAnsiTheme="majorHAnsi" w:cs="ITCAvantGardeStd-BkCn"/>
          <w:color w:val="000000"/>
        </w:rPr>
      </w:pPr>
      <w:r w:rsidRPr="00A61E2A">
        <w:rPr>
          <w:rFonts w:asciiTheme="majorHAnsi" w:eastAsiaTheme="minorEastAsia" w:hAnsiTheme="majorHAnsi" w:cs="ITCAvantGardeStd-BkCn"/>
          <w:color w:val="000000"/>
        </w:rPr>
        <w:t>a. Given the experience of spring, the resources listed in Sidebar Appendix.1, and your knowledge of effective pedagogy, what active learning strategies for remote and/or physically distanced settings could advance college-wide student engagement and learning in 2020–21?</w:t>
      </w:r>
    </w:p>
    <w:p w14:paraId="3E399078" w14:textId="77777777" w:rsidR="00A61E2A" w:rsidRPr="00A61E2A" w:rsidRDefault="00A61E2A" w:rsidP="00BC3342">
      <w:pPr>
        <w:tabs>
          <w:tab w:val="left" w:pos="90"/>
        </w:tabs>
        <w:spacing w:line="240" w:lineRule="auto"/>
        <w:ind w:left="864" w:hanging="288"/>
        <w:rPr>
          <w:rFonts w:asciiTheme="majorHAnsi" w:eastAsiaTheme="minorEastAsia" w:hAnsiTheme="majorHAnsi" w:cs="ITCAvantGardeStd-BkCn"/>
          <w:color w:val="000000"/>
        </w:rPr>
      </w:pPr>
      <w:r w:rsidRPr="00A61E2A">
        <w:rPr>
          <w:rFonts w:asciiTheme="majorHAnsi" w:eastAsiaTheme="minorEastAsia" w:hAnsiTheme="majorHAnsi" w:cs="ITCAvantGardeStd-BkCn"/>
          <w:color w:val="000000"/>
        </w:rPr>
        <w:t xml:space="preserve">b. How could OER and other available online learning resources help your educators? What would you have to do, short term, to include such resources as part of the long-term plan? </w:t>
      </w:r>
    </w:p>
    <w:p w14:paraId="41682030" w14:textId="77777777" w:rsidR="00A61E2A" w:rsidRPr="00A61E2A" w:rsidRDefault="00A61E2A" w:rsidP="00BC3342">
      <w:pPr>
        <w:tabs>
          <w:tab w:val="left" w:pos="90"/>
        </w:tabs>
        <w:spacing w:line="240" w:lineRule="auto"/>
        <w:ind w:left="864" w:hanging="288"/>
        <w:rPr>
          <w:rFonts w:asciiTheme="majorHAnsi" w:eastAsiaTheme="minorEastAsia" w:hAnsiTheme="majorHAnsi" w:cs="ITCAvantGardeStd-BkCn"/>
          <w:color w:val="000000"/>
        </w:rPr>
      </w:pPr>
      <w:r w:rsidRPr="00A61E2A">
        <w:rPr>
          <w:rFonts w:asciiTheme="majorHAnsi" w:eastAsiaTheme="minorEastAsia" w:hAnsiTheme="majorHAnsi" w:cs="ITCAvantGardeStd-BkCn"/>
          <w:color w:val="000000"/>
        </w:rPr>
        <w:t>c. What does your review of selected web resources in Sidebar Appendix.1 suggest about effective strategies that you might encourage? How might you use one or more of those resources in your work with faculty and staff?</w:t>
      </w:r>
    </w:p>
    <w:p w14:paraId="52A7AE0C" w14:textId="77777777" w:rsidR="00A61E2A" w:rsidRPr="00A61E2A" w:rsidRDefault="00A61E2A" w:rsidP="00BC3342">
      <w:pPr>
        <w:tabs>
          <w:tab w:val="left" w:pos="90"/>
        </w:tabs>
        <w:spacing w:line="240" w:lineRule="auto"/>
        <w:ind w:left="576" w:hanging="288"/>
        <w:rPr>
          <w:rFonts w:asciiTheme="majorHAnsi" w:eastAsiaTheme="minorEastAsia" w:hAnsiTheme="majorHAnsi" w:cs="ITCAvantGardeStd-BkCn"/>
          <w:color w:val="000000"/>
        </w:rPr>
      </w:pPr>
      <w:r w:rsidRPr="00A61E2A">
        <w:rPr>
          <w:rFonts w:asciiTheme="majorHAnsi" w:eastAsiaTheme="minorEastAsia" w:hAnsiTheme="majorHAnsi" w:cs="ITCAvantGardeStd-BkCn"/>
          <w:color w:val="000000"/>
        </w:rPr>
        <w:t>3.</w:t>
      </w:r>
      <w:r w:rsidRPr="00A61E2A">
        <w:rPr>
          <w:rFonts w:asciiTheme="majorHAnsi" w:eastAsiaTheme="minorEastAsia" w:hAnsiTheme="majorHAnsi" w:cs="ITCAvantGardeStd-BkCn"/>
          <w:color w:val="000000"/>
        </w:rPr>
        <w:tab/>
        <w:t>How could your team advance the preparation of faculty and staff for the scenario they’re likely to encounter? What kinds of professional development support can be offered during the summer? What should take place in the fall (and beyond)?</w:t>
      </w:r>
    </w:p>
    <w:p w14:paraId="05CCEFAF" w14:textId="77777777" w:rsidR="00A61E2A" w:rsidRPr="00A61E2A" w:rsidRDefault="00A61E2A" w:rsidP="00BC3342">
      <w:pPr>
        <w:tabs>
          <w:tab w:val="left" w:pos="90"/>
        </w:tabs>
        <w:spacing w:line="240" w:lineRule="auto"/>
        <w:ind w:left="864" w:hanging="288"/>
        <w:rPr>
          <w:rFonts w:asciiTheme="majorHAnsi" w:eastAsiaTheme="minorEastAsia" w:hAnsiTheme="majorHAnsi" w:cs="ITCAvantGardeStd-BkCn"/>
          <w:color w:val="000000"/>
        </w:rPr>
      </w:pPr>
      <w:r w:rsidRPr="00A61E2A">
        <w:rPr>
          <w:rFonts w:asciiTheme="majorHAnsi" w:eastAsiaTheme="minorEastAsia" w:hAnsiTheme="majorHAnsi" w:cs="ITCAvantGardeStd-BkCn"/>
          <w:color w:val="000000"/>
        </w:rPr>
        <w:t>a. What kinds of professional development and support would be helpful to different groups of faculty and staff? What is in place? What needs to be developed?</w:t>
      </w:r>
    </w:p>
    <w:p w14:paraId="2213C094" w14:textId="77777777" w:rsidR="00A61E2A" w:rsidRPr="00A61E2A" w:rsidRDefault="00A61E2A" w:rsidP="00BC3342">
      <w:pPr>
        <w:tabs>
          <w:tab w:val="left" w:pos="90"/>
        </w:tabs>
        <w:spacing w:line="240" w:lineRule="auto"/>
        <w:ind w:left="864" w:hanging="288"/>
        <w:rPr>
          <w:rFonts w:asciiTheme="majorHAnsi" w:eastAsiaTheme="minorEastAsia" w:hAnsiTheme="majorHAnsi" w:cs="ITCAvantGardeStd-BkCn"/>
          <w:color w:val="000000"/>
        </w:rPr>
      </w:pPr>
      <w:r w:rsidRPr="00A61E2A">
        <w:rPr>
          <w:rFonts w:asciiTheme="majorHAnsi" w:eastAsiaTheme="minorEastAsia" w:hAnsiTheme="majorHAnsi" w:cs="ITCAvantGardeStd-BkCn"/>
          <w:color w:val="000000"/>
        </w:rPr>
        <w:lastRenderedPageBreak/>
        <w:t>b. How can you draw on the Good Practice Principles for High-Impact Professional Learning in designing and offering this professional development? For example:</w:t>
      </w:r>
    </w:p>
    <w:p w14:paraId="6ACFA37D" w14:textId="77777777" w:rsidR="00A61E2A" w:rsidRPr="00A61E2A" w:rsidRDefault="00A61E2A" w:rsidP="00BC3342">
      <w:pPr>
        <w:tabs>
          <w:tab w:val="left" w:pos="90"/>
        </w:tabs>
        <w:spacing w:line="240" w:lineRule="auto"/>
        <w:ind w:left="1152" w:hanging="288"/>
        <w:rPr>
          <w:rFonts w:asciiTheme="majorHAnsi" w:eastAsiaTheme="minorEastAsia" w:hAnsiTheme="majorHAnsi" w:cs="ITCAvantGardeStd-BkCn"/>
          <w:color w:val="000000"/>
        </w:rPr>
      </w:pPr>
      <w:r w:rsidRPr="00A61E2A">
        <w:rPr>
          <w:rFonts w:asciiTheme="majorHAnsi" w:eastAsiaTheme="minorEastAsia" w:hAnsiTheme="majorHAnsi" w:cs="ITCAvantGardeStd-BkCn"/>
          <w:color w:val="000000"/>
        </w:rPr>
        <w:t xml:space="preserve">- How can you draw on the existing expertise of faculty and staff? What resources of expertise can you leverage? </w:t>
      </w:r>
      <w:r w:rsidRPr="00A61E2A">
        <w:rPr>
          <w:rFonts w:asciiTheme="majorHAnsi" w:eastAsiaTheme="minorEastAsia" w:hAnsiTheme="majorHAnsi" w:cs="ITCAvantGardeStd-BkCn"/>
          <w:i/>
          <w:iCs/>
          <w:color w:val="000000"/>
        </w:rPr>
        <w:t>(GPP#1)</w:t>
      </w:r>
    </w:p>
    <w:p w14:paraId="3ABFD551" w14:textId="77777777" w:rsidR="00A61E2A" w:rsidRPr="00A61E2A" w:rsidRDefault="00A61E2A" w:rsidP="00BC3342">
      <w:pPr>
        <w:tabs>
          <w:tab w:val="left" w:pos="90"/>
        </w:tabs>
        <w:spacing w:line="240" w:lineRule="auto"/>
        <w:ind w:left="1152" w:hanging="288"/>
        <w:rPr>
          <w:rFonts w:asciiTheme="majorHAnsi" w:eastAsiaTheme="minorEastAsia" w:hAnsiTheme="majorHAnsi" w:cs="ITCAvantGardeStd-BkCn"/>
          <w:color w:val="000000"/>
        </w:rPr>
      </w:pPr>
      <w:r w:rsidRPr="00A61E2A">
        <w:rPr>
          <w:rFonts w:asciiTheme="majorHAnsi" w:eastAsiaTheme="minorEastAsia" w:hAnsiTheme="majorHAnsi" w:cs="ITCAvantGardeStd-BkCn"/>
          <w:color w:val="000000"/>
        </w:rPr>
        <w:t xml:space="preserve">- How can you offer occasions for support, reflection, and ongoing learning as the semester unfolds? </w:t>
      </w:r>
      <w:r w:rsidRPr="00A61E2A">
        <w:rPr>
          <w:rFonts w:asciiTheme="majorHAnsi" w:eastAsiaTheme="minorEastAsia" w:hAnsiTheme="majorHAnsi" w:cs="ITCAvantGardeStd-BkCn"/>
          <w:i/>
          <w:iCs/>
          <w:color w:val="000000"/>
        </w:rPr>
        <w:t>(GPP #3)</w:t>
      </w:r>
    </w:p>
    <w:p w14:paraId="6C675545" w14:textId="77777777" w:rsidR="00A61E2A" w:rsidRPr="00A61E2A" w:rsidRDefault="00A61E2A" w:rsidP="00BC3342">
      <w:pPr>
        <w:tabs>
          <w:tab w:val="left" w:pos="90"/>
        </w:tabs>
        <w:spacing w:line="240" w:lineRule="auto"/>
        <w:ind w:left="1152" w:hanging="288"/>
        <w:rPr>
          <w:rFonts w:asciiTheme="majorHAnsi" w:eastAsiaTheme="minorEastAsia" w:hAnsiTheme="majorHAnsi" w:cs="ITCAvantGardeStd-BkCn"/>
          <w:color w:val="000000"/>
        </w:rPr>
      </w:pPr>
      <w:r w:rsidRPr="00A61E2A">
        <w:rPr>
          <w:rFonts w:asciiTheme="majorHAnsi" w:eastAsiaTheme="minorEastAsia" w:hAnsiTheme="majorHAnsi" w:cs="ITCAvantGardeStd-BkCn"/>
          <w:color w:val="000000"/>
        </w:rPr>
        <w:t xml:space="preserve">- What structures would mobilize the power of group learning and exchange? </w:t>
      </w:r>
      <w:r w:rsidRPr="00A61E2A">
        <w:rPr>
          <w:rFonts w:asciiTheme="majorHAnsi" w:eastAsiaTheme="minorEastAsia" w:hAnsiTheme="majorHAnsi" w:cs="ITCAvantGardeStd-BkCn"/>
          <w:i/>
          <w:iCs/>
          <w:color w:val="000000"/>
        </w:rPr>
        <w:t>(GPP #5)</w:t>
      </w:r>
    </w:p>
    <w:p w14:paraId="533F37E5" w14:textId="77777777" w:rsidR="00A61E2A" w:rsidRPr="00A61E2A" w:rsidRDefault="00A61E2A" w:rsidP="00BC3342">
      <w:pPr>
        <w:tabs>
          <w:tab w:val="left" w:pos="90"/>
        </w:tabs>
        <w:spacing w:line="240" w:lineRule="auto"/>
        <w:ind w:left="1152" w:hanging="288"/>
        <w:rPr>
          <w:rFonts w:asciiTheme="majorHAnsi" w:eastAsiaTheme="minorEastAsia" w:hAnsiTheme="majorHAnsi" w:cs="ITCAvantGardeStd-BkCn"/>
          <w:color w:val="000000"/>
        </w:rPr>
      </w:pPr>
      <w:r w:rsidRPr="00A61E2A">
        <w:rPr>
          <w:rFonts w:asciiTheme="majorHAnsi" w:eastAsiaTheme="minorEastAsia" w:hAnsiTheme="majorHAnsi" w:cs="ITCAvantGardeStd-BkCn"/>
          <w:color w:val="000000"/>
        </w:rPr>
        <w:t xml:space="preserve">- What can you do to engage all faculty, full- and part-time? Student Affairs educators? </w:t>
      </w:r>
      <w:r w:rsidRPr="00A61E2A">
        <w:rPr>
          <w:rFonts w:asciiTheme="majorHAnsi" w:eastAsiaTheme="minorEastAsia" w:hAnsiTheme="majorHAnsi" w:cs="ITCAvantGardeStd-BkCn"/>
          <w:i/>
          <w:iCs/>
          <w:color w:val="000000"/>
        </w:rPr>
        <w:t>(GPP #6 and 7)</w:t>
      </w:r>
    </w:p>
    <w:p w14:paraId="3B502189" w14:textId="77777777" w:rsidR="00A61E2A" w:rsidRPr="00A61E2A" w:rsidRDefault="00A61E2A" w:rsidP="00BC3342">
      <w:pPr>
        <w:tabs>
          <w:tab w:val="left" w:pos="90"/>
        </w:tabs>
        <w:spacing w:line="240" w:lineRule="auto"/>
        <w:ind w:left="576" w:hanging="288"/>
        <w:rPr>
          <w:rFonts w:asciiTheme="majorHAnsi" w:eastAsiaTheme="minorEastAsia" w:hAnsiTheme="majorHAnsi" w:cs="ITCAvantGardeStd-BkCn"/>
          <w:color w:val="000000"/>
        </w:rPr>
      </w:pPr>
      <w:r w:rsidRPr="00A61E2A">
        <w:rPr>
          <w:rFonts w:asciiTheme="majorHAnsi" w:eastAsiaTheme="minorEastAsia" w:hAnsiTheme="majorHAnsi" w:cs="ITCAvantGardeStd-BkCn"/>
          <w:color w:val="000000"/>
        </w:rPr>
        <w:t>4.</w:t>
      </w:r>
      <w:r w:rsidRPr="00A61E2A">
        <w:rPr>
          <w:rFonts w:asciiTheme="majorHAnsi" w:eastAsiaTheme="minorEastAsia" w:hAnsiTheme="majorHAnsi" w:cs="ITCAvantGardeStd-BkCn"/>
          <w:color w:val="000000"/>
        </w:rPr>
        <w:tab/>
        <w:t>Planning and Preparation</w:t>
      </w:r>
    </w:p>
    <w:p w14:paraId="0C235A57" w14:textId="77777777" w:rsidR="00A61E2A" w:rsidRPr="00A61E2A" w:rsidRDefault="00A61E2A" w:rsidP="00BC3342">
      <w:pPr>
        <w:tabs>
          <w:tab w:val="left" w:pos="90"/>
        </w:tabs>
        <w:spacing w:line="240" w:lineRule="auto"/>
        <w:ind w:left="864" w:hanging="288"/>
        <w:rPr>
          <w:rFonts w:asciiTheme="majorHAnsi" w:eastAsiaTheme="minorEastAsia" w:hAnsiTheme="majorHAnsi" w:cs="ITCAvantGardeStd-BkCn"/>
          <w:color w:val="000000"/>
        </w:rPr>
      </w:pPr>
      <w:r w:rsidRPr="00A61E2A">
        <w:rPr>
          <w:rFonts w:asciiTheme="majorHAnsi" w:eastAsiaTheme="minorEastAsia" w:hAnsiTheme="majorHAnsi" w:cs="ITCAvantGardeStd-BkCn"/>
          <w:color w:val="000000"/>
        </w:rPr>
        <w:t>a. Building on this discussion of possibilities, design short and mid-range professional development plans. How can your PLH help to facilitate this process?</w:t>
      </w:r>
    </w:p>
    <w:p w14:paraId="434D7FB7" w14:textId="77777777" w:rsidR="00A61E2A" w:rsidRPr="00A61E2A" w:rsidRDefault="00A61E2A" w:rsidP="00BC3342">
      <w:pPr>
        <w:tabs>
          <w:tab w:val="left" w:pos="90"/>
        </w:tabs>
        <w:spacing w:line="240" w:lineRule="auto"/>
        <w:ind w:left="864" w:hanging="288"/>
        <w:rPr>
          <w:rFonts w:asciiTheme="majorHAnsi" w:eastAsiaTheme="minorEastAsia" w:hAnsiTheme="majorHAnsi" w:cs="ITCAvantGardeStd-BkCn"/>
          <w:color w:val="000000"/>
        </w:rPr>
      </w:pPr>
      <w:r w:rsidRPr="00A61E2A">
        <w:rPr>
          <w:rFonts w:asciiTheme="majorHAnsi" w:eastAsiaTheme="minorEastAsia" w:hAnsiTheme="majorHAnsi" w:cs="ITCAvantGardeStd-BkCn"/>
          <w:color w:val="000000"/>
        </w:rPr>
        <w:t>b. What do you need to do in order to ensure needed support for these programs? Who do you need to involve? What will help them understand the value and importance of this task?</w:t>
      </w:r>
    </w:p>
    <w:p w14:paraId="0F296D98" w14:textId="77777777" w:rsidR="00A61E2A" w:rsidRPr="00A61E2A" w:rsidRDefault="00A61E2A" w:rsidP="00BC3342">
      <w:pPr>
        <w:tabs>
          <w:tab w:val="left" w:pos="90"/>
        </w:tabs>
        <w:spacing w:line="240" w:lineRule="auto"/>
        <w:ind w:left="864" w:hanging="288"/>
        <w:rPr>
          <w:rFonts w:asciiTheme="majorHAnsi" w:eastAsiaTheme="minorEastAsia" w:hAnsiTheme="majorHAnsi" w:cs="ITCAvantGardeStd-BkCn"/>
          <w:color w:val="000000"/>
        </w:rPr>
      </w:pPr>
      <w:r w:rsidRPr="00A61E2A">
        <w:rPr>
          <w:rFonts w:asciiTheme="majorHAnsi" w:eastAsiaTheme="minorEastAsia" w:hAnsiTheme="majorHAnsi" w:cs="ITCAvantGardeStd-BkCn"/>
          <w:color w:val="000000"/>
        </w:rPr>
        <w:t>c. What’s a good process for communicating with educators about possibilities? What’s a timeline for finalizing and sharing a plan?</w:t>
      </w:r>
    </w:p>
    <w:p w14:paraId="6E3B1BE7" w14:textId="77777777" w:rsidR="00334BEA" w:rsidRDefault="00334BEA">
      <w:pPr>
        <w:spacing w:after="0" w:line="240" w:lineRule="auto"/>
        <w:rPr>
          <w:rFonts w:asciiTheme="majorHAnsi" w:hAnsiTheme="majorHAnsi"/>
          <w:color w:val="FFFFFF" w:themeColor="background1"/>
          <w:position w:val="-40"/>
          <w:sz w:val="24"/>
          <w:szCs w:val="24"/>
        </w:rPr>
      </w:pPr>
      <w:r>
        <w:rPr>
          <w:rFonts w:asciiTheme="majorHAnsi" w:hAnsiTheme="majorHAnsi"/>
          <w:color w:val="FFFFFF" w:themeColor="background1"/>
          <w:position w:val="-40"/>
          <w:sz w:val="24"/>
          <w:szCs w:val="24"/>
        </w:rPr>
        <w:br w:type="page"/>
      </w:r>
    </w:p>
    <w:p w14:paraId="4184666F" w14:textId="5E6BAF90" w:rsidR="00334BEA" w:rsidRPr="00B85CD2" w:rsidRDefault="00334BEA" w:rsidP="00334BEA">
      <w:pPr>
        <w:spacing w:line="240" w:lineRule="auto"/>
        <w:ind w:left="-450" w:right="-90"/>
        <w:jc w:val="center"/>
        <w:rPr>
          <w:rFonts w:asciiTheme="majorHAnsi" w:hAnsiTheme="majorHAnsi"/>
          <w:color w:val="FFFFFF" w:themeColor="background1"/>
          <w:position w:val="-40"/>
          <w:sz w:val="24"/>
          <w:szCs w:val="24"/>
        </w:rPr>
      </w:pPr>
      <w:r w:rsidRPr="00B85CD2">
        <w:rPr>
          <w:rFonts w:asciiTheme="majorHAnsi" w:hAnsiTheme="majorHAnsi"/>
          <w:noProof/>
          <w:color w:val="FFFFFF" w:themeColor="background1"/>
          <w:position w:val="-40"/>
          <w:sz w:val="24"/>
          <w:szCs w:val="24"/>
        </w:rPr>
        <w:lastRenderedPageBreak/>
        <w:drawing>
          <wp:anchor distT="0" distB="0" distL="114300" distR="114300" simplePos="0" relativeHeight="251664384" behindDoc="1" locked="0" layoutInCell="1" allowOverlap="1" wp14:anchorId="54A1040D" wp14:editId="40253F37">
            <wp:simplePos x="0" y="0"/>
            <wp:positionH relativeFrom="column">
              <wp:posOffset>-228600</wp:posOffset>
            </wp:positionH>
            <wp:positionV relativeFrom="paragraph">
              <wp:posOffset>3810</wp:posOffset>
            </wp:positionV>
            <wp:extent cx="5943600" cy="401744"/>
            <wp:effectExtent l="0" t="0" r="0" b="508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ksheet Header Graphic.png"/>
                    <pic:cNvPicPr/>
                  </pic:nvPicPr>
                  <pic:blipFill>
                    <a:blip r:embed="rId8">
                      <a:extLst>
                        <a:ext uri="{28A0092B-C50C-407E-A947-70E740481C1C}">
                          <a14:useLocalDpi xmlns:a14="http://schemas.microsoft.com/office/drawing/2010/main" val="0"/>
                        </a:ext>
                      </a:extLst>
                    </a:blip>
                    <a:stretch>
                      <a:fillRect/>
                    </a:stretch>
                  </pic:blipFill>
                  <pic:spPr>
                    <a:xfrm>
                      <a:off x="0" y="0"/>
                      <a:ext cx="5943600" cy="401744"/>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color w:val="FFFFFF" w:themeColor="background1"/>
          <w:position w:val="-40"/>
          <w:sz w:val="24"/>
          <w:szCs w:val="24"/>
        </w:rPr>
        <w:t>Worksheet Appendix.3</w:t>
      </w:r>
    </w:p>
    <w:p w14:paraId="48DB6D7E" w14:textId="77777777" w:rsidR="00334BEA" w:rsidRPr="00334BEA" w:rsidRDefault="00334BEA" w:rsidP="00334BEA">
      <w:pPr>
        <w:tabs>
          <w:tab w:val="left" w:pos="90"/>
        </w:tabs>
        <w:spacing w:before="240" w:line="240" w:lineRule="atLeast"/>
        <w:ind w:left="-274"/>
        <w:jc w:val="center"/>
        <w:rPr>
          <w:rFonts w:asciiTheme="majorHAnsi" w:hAnsiTheme="majorHAnsi"/>
          <w:b/>
          <w:color w:val="00836C"/>
          <w:sz w:val="36"/>
          <w:szCs w:val="36"/>
        </w:rPr>
      </w:pPr>
      <w:r w:rsidRPr="00334BEA">
        <w:rPr>
          <w:rFonts w:asciiTheme="majorHAnsi" w:hAnsiTheme="majorHAnsi"/>
          <w:b/>
          <w:color w:val="00836C"/>
          <w:sz w:val="36"/>
          <w:szCs w:val="36"/>
        </w:rPr>
        <w:t xml:space="preserve">Self-Assessment Tool: Evidence-Based </w:t>
      </w:r>
      <w:r w:rsidRPr="00334BEA">
        <w:rPr>
          <w:rFonts w:asciiTheme="majorHAnsi" w:hAnsiTheme="majorHAnsi"/>
          <w:b/>
          <w:color w:val="00836C"/>
          <w:sz w:val="36"/>
          <w:szCs w:val="36"/>
        </w:rPr>
        <w:br/>
        <w:t>Inclusive Teaching Practices</w:t>
      </w:r>
    </w:p>
    <w:p w14:paraId="73D59841" w14:textId="77777777" w:rsidR="00334BEA" w:rsidRPr="003752CC" w:rsidRDefault="00334BEA" w:rsidP="00334BEA">
      <w:pPr>
        <w:tabs>
          <w:tab w:val="left" w:pos="90"/>
        </w:tabs>
        <w:spacing w:line="240" w:lineRule="auto"/>
        <w:ind w:left="-274"/>
        <w:rPr>
          <w:rFonts w:asciiTheme="majorHAnsi" w:eastAsiaTheme="minorEastAsia" w:hAnsiTheme="majorHAnsi" w:cs="ITCAvantGardeStd-BkCn"/>
          <w:color w:val="000000"/>
        </w:rPr>
      </w:pPr>
      <w:r w:rsidRPr="003752CC">
        <w:rPr>
          <w:rFonts w:asciiTheme="majorHAnsi" w:eastAsiaTheme="minorEastAsia" w:hAnsiTheme="majorHAnsi" w:cs="ITCAvantGardeStd-BkCn"/>
          <w:b/>
          <w:bCs/>
          <w:color w:val="000000"/>
        </w:rPr>
        <w:t xml:space="preserve">Directions: </w:t>
      </w:r>
      <w:r w:rsidRPr="003752CC">
        <w:rPr>
          <w:rFonts w:asciiTheme="majorHAnsi" w:eastAsiaTheme="minorEastAsia" w:hAnsiTheme="majorHAnsi" w:cs="ITCAvantGardeStd-BkCn"/>
          <w:color w:val="000000"/>
        </w:rPr>
        <w:t>This Self-Assessment Tool is designed to support faculty members as they consider their role in the effort to advance equity and the use of evidence-based inclusive teaching practices. Your PLH may wish to incorporate this tool as an exercise in a workshop or as part of a Faculty Learning Community on evidence-based inclusive teaching practices. Once faculty identify areas for growth, the PLH can provide appropriate resources to support implementation of each practice.</w:t>
      </w:r>
    </w:p>
    <w:p w14:paraId="643ED9F1" w14:textId="77777777" w:rsidR="00334BEA" w:rsidRPr="003752CC" w:rsidRDefault="00334BEA" w:rsidP="00334BEA">
      <w:pPr>
        <w:tabs>
          <w:tab w:val="left" w:pos="90"/>
        </w:tabs>
        <w:spacing w:line="240" w:lineRule="auto"/>
        <w:ind w:left="-274"/>
        <w:rPr>
          <w:rFonts w:asciiTheme="majorHAnsi" w:eastAsiaTheme="minorEastAsia" w:hAnsiTheme="majorHAnsi" w:cs="ITCAvantGardeStd-BkCn"/>
          <w:color w:val="000000"/>
        </w:rPr>
      </w:pPr>
      <w:r w:rsidRPr="003752CC">
        <w:rPr>
          <w:rFonts w:asciiTheme="majorHAnsi" w:eastAsiaTheme="minorEastAsia" w:hAnsiTheme="majorHAnsi" w:cs="ITCAvantGardeStd-BkCn"/>
          <w:color w:val="000000"/>
        </w:rPr>
        <w:t>The Self-Assessment Tool is followed by reflection questions. Worksheet 4 focuses on planning professional learning programs using this and other resources.</w:t>
      </w:r>
    </w:p>
    <w:p w14:paraId="5A3BD4C8" w14:textId="77777777" w:rsidR="00334BEA" w:rsidRPr="003752CC" w:rsidRDefault="00334BEA" w:rsidP="00334BEA">
      <w:pPr>
        <w:tabs>
          <w:tab w:val="left" w:pos="90"/>
        </w:tabs>
        <w:spacing w:line="240" w:lineRule="auto"/>
        <w:ind w:left="-274"/>
        <w:rPr>
          <w:rFonts w:asciiTheme="majorHAnsi" w:eastAsiaTheme="minorEastAsia" w:hAnsiTheme="majorHAnsi" w:cs="ITCAvantGardeStd-BkCn"/>
          <w:color w:val="000000"/>
        </w:rPr>
      </w:pPr>
      <w:r w:rsidRPr="003752CC">
        <w:rPr>
          <w:rFonts w:asciiTheme="majorHAnsi" w:eastAsiaTheme="minorEastAsia" w:hAnsiTheme="majorHAnsi" w:cs="ITCAvantGardeStd-BkCn"/>
          <w:color w:val="000000"/>
        </w:rPr>
        <w:t>These items are intended to help you consider the extent to which you are currently using inclusive teaching practices and where there may be opportunities to grow, learn, and strengthen your practice in this area. Please take some time to consider your use of each of these practices. At the bottom of the tool, we have included some questions for reflection and planning.</w:t>
      </w:r>
    </w:p>
    <w:p w14:paraId="445EDB84" w14:textId="77777777" w:rsidR="00334BEA" w:rsidRPr="003752CC" w:rsidRDefault="00334BEA" w:rsidP="00334BEA">
      <w:pPr>
        <w:tabs>
          <w:tab w:val="left" w:pos="90"/>
        </w:tabs>
        <w:spacing w:line="240" w:lineRule="auto"/>
        <w:ind w:left="-274"/>
        <w:rPr>
          <w:rFonts w:asciiTheme="majorHAnsi" w:eastAsiaTheme="minorEastAsia" w:hAnsiTheme="majorHAnsi" w:cs="ITCAvantGardeStd-BkCn"/>
          <w:color w:val="000000"/>
        </w:rPr>
      </w:pPr>
      <w:r w:rsidRPr="003752CC">
        <w:rPr>
          <w:rFonts w:asciiTheme="majorHAnsi" w:eastAsiaTheme="minorEastAsia" w:hAnsiTheme="majorHAnsi" w:cs="ITCAvantGardeStd-BkCn"/>
          <w:color w:val="000000"/>
        </w:rPr>
        <w:t>1 = I have not done this yet.</w:t>
      </w:r>
    </w:p>
    <w:p w14:paraId="06182F26" w14:textId="77777777" w:rsidR="00334BEA" w:rsidRPr="003752CC" w:rsidRDefault="00334BEA" w:rsidP="00334BEA">
      <w:pPr>
        <w:tabs>
          <w:tab w:val="left" w:pos="90"/>
        </w:tabs>
        <w:spacing w:line="240" w:lineRule="auto"/>
        <w:ind w:left="-274"/>
        <w:rPr>
          <w:rFonts w:asciiTheme="majorHAnsi" w:eastAsiaTheme="minorEastAsia" w:hAnsiTheme="majorHAnsi" w:cs="ITCAvantGardeStd-BkCn"/>
          <w:color w:val="000000"/>
        </w:rPr>
      </w:pPr>
      <w:r w:rsidRPr="003752CC">
        <w:rPr>
          <w:rFonts w:asciiTheme="majorHAnsi" w:eastAsiaTheme="minorEastAsia" w:hAnsiTheme="majorHAnsi" w:cs="ITCAvantGardeStd-BkCn"/>
          <w:color w:val="000000"/>
        </w:rPr>
        <w:t>2 = I do this occasionally; there are opportunities for me to increase the frequency.</w:t>
      </w:r>
    </w:p>
    <w:p w14:paraId="68D57043" w14:textId="77777777" w:rsidR="00334BEA" w:rsidRPr="003752CC" w:rsidRDefault="00334BEA" w:rsidP="00334BEA">
      <w:pPr>
        <w:tabs>
          <w:tab w:val="left" w:pos="90"/>
        </w:tabs>
        <w:spacing w:line="240" w:lineRule="auto"/>
        <w:ind w:left="-274"/>
        <w:rPr>
          <w:rFonts w:asciiTheme="majorHAnsi" w:eastAsiaTheme="minorEastAsia" w:hAnsiTheme="majorHAnsi" w:cs="ITCAvantGardeStd-BkCn"/>
          <w:color w:val="000000"/>
        </w:rPr>
      </w:pPr>
      <w:r w:rsidRPr="003752CC">
        <w:rPr>
          <w:rFonts w:asciiTheme="majorHAnsi" w:eastAsiaTheme="minorEastAsia" w:hAnsiTheme="majorHAnsi" w:cs="ITCAvantGardeStd-BkCn"/>
          <w:color w:val="000000"/>
        </w:rPr>
        <w:t>3 = I do this quite frequently.</w:t>
      </w:r>
    </w:p>
    <w:p w14:paraId="4A2BC13C" w14:textId="3CA8E2D1" w:rsidR="007C5183" w:rsidRPr="003752CC" w:rsidRDefault="00334BEA" w:rsidP="00334BEA">
      <w:pPr>
        <w:tabs>
          <w:tab w:val="left" w:pos="90"/>
        </w:tabs>
        <w:spacing w:line="240" w:lineRule="auto"/>
        <w:ind w:left="-274"/>
        <w:rPr>
          <w:rFonts w:asciiTheme="majorHAnsi" w:eastAsiaTheme="minorEastAsia" w:hAnsiTheme="majorHAnsi" w:cs="ITCAvantGardeStd-BkCn"/>
          <w:i/>
          <w:iCs/>
          <w:color w:val="000000"/>
        </w:rPr>
      </w:pPr>
      <w:r w:rsidRPr="003752CC">
        <w:rPr>
          <w:rFonts w:asciiTheme="majorHAnsi" w:eastAsiaTheme="minorEastAsia" w:hAnsiTheme="majorHAnsi" w:cs="ITCAvantGardeStd-BkCn"/>
          <w:color w:val="000000"/>
        </w:rPr>
        <w:t xml:space="preserve">This tool is modified from a checklist created by Bryan Dewsbury and Cynthia </w:t>
      </w:r>
      <w:proofErr w:type="spellStart"/>
      <w:r w:rsidRPr="003752CC">
        <w:rPr>
          <w:rFonts w:asciiTheme="majorHAnsi" w:eastAsiaTheme="minorEastAsia" w:hAnsiTheme="majorHAnsi" w:cs="ITCAvantGardeStd-BkCn"/>
          <w:color w:val="000000"/>
        </w:rPr>
        <w:t>Brame</w:t>
      </w:r>
      <w:proofErr w:type="spellEnd"/>
      <w:r w:rsidRPr="003752CC">
        <w:rPr>
          <w:rFonts w:asciiTheme="majorHAnsi" w:eastAsiaTheme="minorEastAsia" w:hAnsiTheme="majorHAnsi" w:cs="ITCAvantGardeStd-BkCn"/>
          <w:color w:val="000000"/>
        </w:rPr>
        <w:t xml:space="preserve">. Additional information relevant to these suggestions and to inclusive and equitable teaching more broadly can be found in their </w:t>
      </w:r>
      <w:r w:rsidRPr="003752CC">
        <w:rPr>
          <w:rFonts w:asciiTheme="majorHAnsi" w:eastAsiaTheme="minorEastAsia" w:hAnsiTheme="majorHAnsi" w:cs="ITCAvantGardeStd-BkCn"/>
          <w:i/>
          <w:iCs/>
          <w:color w:val="000000"/>
        </w:rPr>
        <w:t>LSE Evidence-Based Teaching Guide to Inclusive Teaching</w:t>
      </w:r>
      <w:r w:rsidRPr="003752CC">
        <w:rPr>
          <w:rFonts w:asciiTheme="majorHAnsi" w:eastAsiaTheme="minorEastAsia" w:hAnsiTheme="majorHAnsi" w:cs="ITCAvantGardeStd-BkCn"/>
          <w:color w:val="000000"/>
        </w:rPr>
        <w:t xml:space="preserve"> and in Kimberly Tanner’s </w:t>
      </w:r>
      <w:r w:rsidRPr="003752CC">
        <w:rPr>
          <w:rFonts w:asciiTheme="majorHAnsi" w:eastAsiaTheme="minorEastAsia" w:hAnsiTheme="majorHAnsi" w:cs="ITCAvantGardeStd-BkCn"/>
          <w:i/>
          <w:iCs/>
          <w:color w:val="000000"/>
        </w:rPr>
        <w:t>Structure Matters: Twenty-One Teaching Strategies to Promote Student Engagement and Cultivate Classroom Equity.</w:t>
      </w:r>
      <w:r w:rsidRPr="003752CC">
        <w:rPr>
          <w:rStyle w:val="FootnoteReference"/>
          <w:rFonts w:asciiTheme="majorHAnsi" w:eastAsiaTheme="minorEastAsia" w:hAnsiTheme="majorHAnsi" w:cs="ITCAvantGardeStd-BkCn"/>
          <w:i/>
          <w:iCs/>
          <w:color w:val="000000"/>
        </w:rPr>
        <w:footnoteReference w:id="3"/>
      </w:r>
    </w:p>
    <w:p w14:paraId="7F691C0E" w14:textId="11910286" w:rsidR="0030062D" w:rsidRPr="003752CC" w:rsidRDefault="0030062D">
      <w:pPr>
        <w:spacing w:after="0" w:line="240" w:lineRule="auto"/>
      </w:pPr>
    </w:p>
    <w:p w14:paraId="5E9646C5" w14:textId="77777777" w:rsidR="003752CC" w:rsidRDefault="003752CC">
      <w:r>
        <w:rPr>
          <w:b/>
          <w:bCs/>
        </w:rPr>
        <w:br w:type="page"/>
      </w:r>
    </w:p>
    <w:tbl>
      <w:tblPr>
        <w:tblW w:w="9360" w:type="dxa"/>
        <w:tblInd w:w="-252" w:type="dxa"/>
        <w:tblLayout w:type="fixed"/>
        <w:tblCellMar>
          <w:left w:w="0" w:type="dxa"/>
          <w:right w:w="0" w:type="dxa"/>
        </w:tblCellMar>
        <w:tblLook w:val="0000" w:firstRow="0" w:lastRow="0" w:firstColumn="0" w:lastColumn="0" w:noHBand="0" w:noVBand="0"/>
      </w:tblPr>
      <w:tblGrid>
        <w:gridCol w:w="412"/>
        <w:gridCol w:w="7238"/>
        <w:gridCol w:w="540"/>
        <w:gridCol w:w="540"/>
        <w:gridCol w:w="630"/>
      </w:tblGrid>
      <w:tr w:rsidR="0030062D" w14:paraId="3D58EC9F" w14:textId="77777777" w:rsidTr="00FF6D8A">
        <w:trPr>
          <w:trHeight w:val="720"/>
        </w:trPr>
        <w:tc>
          <w:tcPr>
            <w:tcW w:w="9360" w:type="dxa"/>
            <w:gridSpan w:val="5"/>
            <w:tcBorders>
              <w:top w:val="single" w:sz="4" w:space="0" w:color="000000"/>
              <w:left w:val="nil"/>
              <w:bottom w:val="single" w:sz="4" w:space="0" w:color="000000"/>
              <w:right w:val="nil"/>
            </w:tcBorders>
            <w:shd w:val="clear" w:color="00529B" w:fill="1F497D" w:themeFill="text2"/>
            <w:tcMar>
              <w:top w:w="0" w:type="dxa"/>
              <w:left w:w="108" w:type="dxa"/>
              <w:bottom w:w="0" w:type="dxa"/>
              <w:right w:w="108" w:type="dxa"/>
            </w:tcMar>
            <w:vAlign w:val="center"/>
          </w:tcPr>
          <w:p w14:paraId="08B5B121" w14:textId="2B0449F7" w:rsidR="0030062D" w:rsidRPr="00D719A1" w:rsidRDefault="0030062D" w:rsidP="00D719A1">
            <w:pPr>
              <w:pStyle w:val="WorksheetHeader"/>
              <w:spacing w:after="0"/>
              <w:jc w:val="center"/>
              <w:rPr>
                <w:color w:val="FFFFFF" w:themeColor="background1"/>
              </w:rPr>
            </w:pPr>
            <w:r w:rsidRPr="00D719A1">
              <w:rPr>
                <w:color w:val="FFFFFF" w:themeColor="background1"/>
              </w:rPr>
              <w:lastRenderedPageBreak/>
              <w:t>Developing self-awareness</w:t>
            </w:r>
          </w:p>
        </w:tc>
      </w:tr>
      <w:tr w:rsidR="0030062D" w:rsidRPr="00C02AD4" w14:paraId="3A06B9B1" w14:textId="77777777" w:rsidTr="00296E33">
        <w:trPr>
          <w:trHeight w:val="720"/>
        </w:trPr>
        <w:tc>
          <w:tcPr>
            <w:tcW w:w="412" w:type="dxa"/>
            <w:tcBorders>
              <w:top w:val="single" w:sz="4" w:space="0" w:color="000000"/>
              <w:left w:val="nil"/>
              <w:bottom w:val="single" w:sz="4" w:space="0" w:color="000000"/>
              <w:right w:val="nil"/>
            </w:tcBorders>
            <w:shd w:val="clear" w:color="00529B" w:fill="DBE5F1" w:themeFill="accent1" w:themeFillTint="33"/>
            <w:tcMar>
              <w:top w:w="0" w:type="dxa"/>
              <w:left w:w="108" w:type="dxa"/>
              <w:bottom w:w="0" w:type="dxa"/>
              <w:right w:w="108" w:type="dxa"/>
            </w:tcMar>
            <w:vAlign w:val="center"/>
          </w:tcPr>
          <w:p w14:paraId="177A5AFE" w14:textId="77777777" w:rsidR="0030062D" w:rsidRPr="00C02AD4" w:rsidRDefault="0030062D" w:rsidP="00C02AD4">
            <w:pPr>
              <w:pStyle w:val="WorksheetTable"/>
              <w:spacing w:after="0" w:line="240" w:lineRule="auto"/>
              <w:rPr>
                <w:sz w:val="18"/>
                <w:szCs w:val="18"/>
              </w:rPr>
            </w:pPr>
            <w:r w:rsidRPr="00C02AD4">
              <w:rPr>
                <w:sz w:val="18"/>
                <w:szCs w:val="18"/>
              </w:rPr>
              <w:t>1.</w:t>
            </w:r>
          </w:p>
        </w:tc>
        <w:tc>
          <w:tcPr>
            <w:tcW w:w="7238" w:type="dxa"/>
            <w:tcBorders>
              <w:top w:val="single" w:sz="4" w:space="0" w:color="000000"/>
              <w:left w:val="nil"/>
              <w:bottom w:val="single" w:sz="4" w:space="0" w:color="000000"/>
              <w:right w:val="nil"/>
            </w:tcBorders>
            <w:shd w:val="clear" w:color="00529B" w:fill="DBE5F1" w:themeFill="accent1" w:themeFillTint="33"/>
            <w:tcMar>
              <w:top w:w="0" w:type="dxa"/>
              <w:left w:w="108" w:type="dxa"/>
              <w:bottom w:w="0" w:type="dxa"/>
              <w:right w:w="108" w:type="dxa"/>
            </w:tcMar>
            <w:vAlign w:val="center"/>
          </w:tcPr>
          <w:p w14:paraId="4C0183D6" w14:textId="77777777" w:rsidR="0030062D" w:rsidRPr="00C02AD4" w:rsidRDefault="0030062D" w:rsidP="00C02AD4">
            <w:pPr>
              <w:pStyle w:val="WorksheetTable"/>
              <w:spacing w:after="0" w:line="240" w:lineRule="auto"/>
              <w:rPr>
                <w:sz w:val="18"/>
                <w:szCs w:val="18"/>
              </w:rPr>
            </w:pPr>
            <w:r w:rsidRPr="00C02AD4">
              <w:rPr>
                <w:sz w:val="18"/>
                <w:szCs w:val="18"/>
              </w:rPr>
              <w:t>Take the Implicit Association Test (</w:t>
            </w:r>
            <w:r w:rsidRPr="00C02AD4">
              <w:rPr>
                <w:rStyle w:val="Hyperlink"/>
                <w:sz w:val="18"/>
                <w:szCs w:val="18"/>
              </w:rPr>
              <w:t>http://implicit.harvard.edu</w:t>
            </w:r>
            <w:r w:rsidRPr="00C02AD4">
              <w:rPr>
                <w:sz w:val="18"/>
                <w:szCs w:val="18"/>
              </w:rPr>
              <w:t>). The website contains a number of tests based on different identities around which biases exist.</w:t>
            </w:r>
          </w:p>
        </w:tc>
        <w:tc>
          <w:tcPr>
            <w:tcW w:w="540" w:type="dxa"/>
            <w:tcBorders>
              <w:top w:val="single" w:sz="4" w:space="0" w:color="000000"/>
              <w:left w:val="nil"/>
              <w:bottom w:val="single" w:sz="4" w:space="0" w:color="000000"/>
              <w:right w:val="nil"/>
            </w:tcBorders>
            <w:shd w:val="clear" w:color="00529B" w:fill="DBE5F1" w:themeFill="accent1" w:themeFillTint="33"/>
            <w:tcMar>
              <w:top w:w="0" w:type="dxa"/>
              <w:left w:w="108" w:type="dxa"/>
              <w:bottom w:w="0" w:type="dxa"/>
              <w:right w:w="108" w:type="dxa"/>
            </w:tcMar>
            <w:vAlign w:val="center"/>
          </w:tcPr>
          <w:p w14:paraId="712B801B" w14:textId="77777777" w:rsidR="0030062D" w:rsidRPr="00C02AD4" w:rsidRDefault="0030062D" w:rsidP="00C02AD4">
            <w:pPr>
              <w:pStyle w:val="WorksheetTable"/>
              <w:spacing w:after="0" w:line="240" w:lineRule="auto"/>
              <w:rPr>
                <w:sz w:val="18"/>
                <w:szCs w:val="18"/>
              </w:rPr>
            </w:pPr>
            <w:r w:rsidRPr="00C02AD4">
              <w:rPr>
                <w:sz w:val="18"/>
                <w:szCs w:val="18"/>
              </w:rPr>
              <w:t>1</w:t>
            </w:r>
          </w:p>
        </w:tc>
        <w:tc>
          <w:tcPr>
            <w:tcW w:w="540" w:type="dxa"/>
            <w:tcBorders>
              <w:top w:val="single" w:sz="4" w:space="0" w:color="000000"/>
              <w:left w:val="nil"/>
              <w:bottom w:val="single" w:sz="4" w:space="0" w:color="000000"/>
              <w:right w:val="nil"/>
            </w:tcBorders>
            <w:shd w:val="clear" w:color="00529B" w:fill="DBE5F1" w:themeFill="accent1" w:themeFillTint="33"/>
            <w:tcMar>
              <w:top w:w="0" w:type="dxa"/>
              <w:left w:w="108" w:type="dxa"/>
              <w:bottom w:w="0" w:type="dxa"/>
              <w:right w:w="108" w:type="dxa"/>
            </w:tcMar>
            <w:vAlign w:val="center"/>
          </w:tcPr>
          <w:p w14:paraId="2CDE8412" w14:textId="77777777" w:rsidR="0030062D" w:rsidRPr="00C02AD4" w:rsidRDefault="0030062D" w:rsidP="00C02AD4">
            <w:pPr>
              <w:pStyle w:val="WorksheetTable"/>
              <w:spacing w:after="0" w:line="240" w:lineRule="auto"/>
              <w:rPr>
                <w:sz w:val="18"/>
                <w:szCs w:val="18"/>
              </w:rPr>
            </w:pPr>
            <w:r w:rsidRPr="00C02AD4">
              <w:rPr>
                <w:sz w:val="18"/>
                <w:szCs w:val="18"/>
              </w:rPr>
              <w:t>2</w:t>
            </w:r>
          </w:p>
        </w:tc>
        <w:tc>
          <w:tcPr>
            <w:tcW w:w="630" w:type="dxa"/>
            <w:tcBorders>
              <w:top w:val="single" w:sz="4" w:space="0" w:color="000000"/>
              <w:left w:val="nil"/>
              <w:bottom w:val="single" w:sz="4" w:space="0" w:color="000000"/>
              <w:right w:val="nil"/>
            </w:tcBorders>
            <w:shd w:val="clear" w:color="00529B" w:fill="DBE5F1" w:themeFill="accent1" w:themeFillTint="33"/>
            <w:tcMar>
              <w:top w:w="0" w:type="dxa"/>
              <w:left w:w="108" w:type="dxa"/>
              <w:bottom w:w="0" w:type="dxa"/>
              <w:right w:w="108" w:type="dxa"/>
            </w:tcMar>
            <w:vAlign w:val="center"/>
          </w:tcPr>
          <w:p w14:paraId="6F7D6E8B" w14:textId="77777777" w:rsidR="0030062D" w:rsidRPr="00C02AD4" w:rsidRDefault="0030062D" w:rsidP="00C02AD4">
            <w:pPr>
              <w:pStyle w:val="WorksheetTable"/>
              <w:spacing w:after="0" w:line="240" w:lineRule="auto"/>
              <w:rPr>
                <w:sz w:val="18"/>
                <w:szCs w:val="18"/>
              </w:rPr>
            </w:pPr>
            <w:r w:rsidRPr="00C02AD4">
              <w:rPr>
                <w:sz w:val="18"/>
                <w:szCs w:val="18"/>
              </w:rPr>
              <w:t>3</w:t>
            </w:r>
          </w:p>
        </w:tc>
      </w:tr>
      <w:tr w:rsidR="0030062D" w:rsidRPr="00C02AD4" w14:paraId="2AC6E0AA" w14:textId="77777777" w:rsidTr="00296E33">
        <w:trPr>
          <w:trHeight w:val="720"/>
        </w:trPr>
        <w:tc>
          <w:tcPr>
            <w:tcW w:w="412" w:type="dxa"/>
            <w:tcBorders>
              <w:top w:val="single" w:sz="4" w:space="0" w:color="000000"/>
              <w:left w:val="nil"/>
              <w:bottom w:val="single" w:sz="4" w:space="0" w:color="000000"/>
              <w:right w:val="nil"/>
            </w:tcBorders>
            <w:shd w:val="clear" w:color="00529B" w:fill="DBE5F1" w:themeFill="accent1" w:themeFillTint="33"/>
            <w:tcMar>
              <w:top w:w="0" w:type="dxa"/>
              <w:left w:w="108" w:type="dxa"/>
              <w:bottom w:w="0" w:type="dxa"/>
              <w:right w:w="108" w:type="dxa"/>
            </w:tcMar>
            <w:vAlign w:val="center"/>
          </w:tcPr>
          <w:p w14:paraId="2F0E840F" w14:textId="77777777" w:rsidR="0030062D" w:rsidRPr="00C02AD4" w:rsidRDefault="0030062D" w:rsidP="00C02AD4">
            <w:pPr>
              <w:pStyle w:val="WorksheetTable"/>
              <w:spacing w:after="0" w:line="240" w:lineRule="auto"/>
              <w:rPr>
                <w:sz w:val="18"/>
                <w:szCs w:val="18"/>
              </w:rPr>
            </w:pPr>
            <w:r w:rsidRPr="00C02AD4">
              <w:rPr>
                <w:sz w:val="18"/>
                <w:szCs w:val="18"/>
              </w:rPr>
              <w:t>2.</w:t>
            </w:r>
          </w:p>
        </w:tc>
        <w:tc>
          <w:tcPr>
            <w:tcW w:w="7238" w:type="dxa"/>
            <w:tcBorders>
              <w:top w:val="single" w:sz="4" w:space="0" w:color="000000"/>
              <w:left w:val="nil"/>
              <w:bottom w:val="single" w:sz="4" w:space="0" w:color="000000"/>
              <w:right w:val="nil"/>
            </w:tcBorders>
            <w:shd w:val="clear" w:color="00529B" w:fill="DBE5F1" w:themeFill="accent1" w:themeFillTint="33"/>
            <w:tcMar>
              <w:top w:w="0" w:type="dxa"/>
              <w:left w:w="108" w:type="dxa"/>
              <w:bottom w:w="0" w:type="dxa"/>
              <w:right w:w="108" w:type="dxa"/>
            </w:tcMar>
            <w:vAlign w:val="center"/>
          </w:tcPr>
          <w:p w14:paraId="5AECF53C" w14:textId="41ECE4DC" w:rsidR="0030062D" w:rsidRPr="00C02AD4" w:rsidRDefault="0030062D" w:rsidP="00C02AD4">
            <w:pPr>
              <w:pStyle w:val="WorksheetTable"/>
              <w:spacing w:after="0" w:line="240" w:lineRule="auto"/>
              <w:rPr>
                <w:sz w:val="18"/>
                <w:szCs w:val="18"/>
              </w:rPr>
            </w:pPr>
            <w:r w:rsidRPr="00C02AD4">
              <w:rPr>
                <w:sz w:val="18"/>
                <w:szCs w:val="18"/>
              </w:rPr>
              <w:t>Read literature on the history of the social context of higher education.</w:t>
            </w:r>
            <w:r w:rsidR="001D5793" w:rsidRPr="00C02AD4">
              <w:rPr>
                <w:rStyle w:val="FootnoteReference"/>
                <w:sz w:val="18"/>
                <w:szCs w:val="18"/>
              </w:rPr>
              <w:footnoteReference w:id="4"/>
            </w:r>
          </w:p>
        </w:tc>
        <w:tc>
          <w:tcPr>
            <w:tcW w:w="540" w:type="dxa"/>
            <w:tcBorders>
              <w:top w:val="single" w:sz="4" w:space="0" w:color="000000"/>
              <w:left w:val="nil"/>
              <w:bottom w:val="single" w:sz="4" w:space="0" w:color="000000"/>
              <w:right w:val="nil"/>
            </w:tcBorders>
            <w:shd w:val="clear" w:color="00529B" w:fill="DBE5F1" w:themeFill="accent1" w:themeFillTint="33"/>
            <w:tcMar>
              <w:top w:w="0" w:type="dxa"/>
              <w:left w:w="108" w:type="dxa"/>
              <w:bottom w:w="0" w:type="dxa"/>
              <w:right w:w="108" w:type="dxa"/>
            </w:tcMar>
            <w:vAlign w:val="center"/>
          </w:tcPr>
          <w:p w14:paraId="4F88EB11" w14:textId="77777777" w:rsidR="0030062D" w:rsidRPr="00C02AD4" w:rsidRDefault="0030062D" w:rsidP="00C02AD4">
            <w:pPr>
              <w:pStyle w:val="WorksheetTable"/>
              <w:spacing w:after="0" w:line="240" w:lineRule="auto"/>
              <w:rPr>
                <w:sz w:val="18"/>
                <w:szCs w:val="18"/>
              </w:rPr>
            </w:pPr>
            <w:r w:rsidRPr="00C02AD4">
              <w:rPr>
                <w:sz w:val="18"/>
                <w:szCs w:val="18"/>
              </w:rPr>
              <w:t>1</w:t>
            </w:r>
          </w:p>
        </w:tc>
        <w:tc>
          <w:tcPr>
            <w:tcW w:w="540" w:type="dxa"/>
            <w:tcBorders>
              <w:top w:val="single" w:sz="4" w:space="0" w:color="000000"/>
              <w:left w:val="nil"/>
              <w:bottom w:val="single" w:sz="4" w:space="0" w:color="000000"/>
              <w:right w:val="nil"/>
            </w:tcBorders>
            <w:shd w:val="clear" w:color="00529B" w:fill="DBE5F1" w:themeFill="accent1" w:themeFillTint="33"/>
            <w:tcMar>
              <w:top w:w="0" w:type="dxa"/>
              <w:left w:w="108" w:type="dxa"/>
              <w:bottom w:w="0" w:type="dxa"/>
              <w:right w:w="108" w:type="dxa"/>
            </w:tcMar>
            <w:vAlign w:val="center"/>
          </w:tcPr>
          <w:p w14:paraId="52AED712" w14:textId="77777777" w:rsidR="0030062D" w:rsidRPr="00C02AD4" w:rsidRDefault="0030062D" w:rsidP="00C02AD4">
            <w:pPr>
              <w:pStyle w:val="WorksheetTable"/>
              <w:spacing w:after="0" w:line="240" w:lineRule="auto"/>
              <w:rPr>
                <w:sz w:val="18"/>
                <w:szCs w:val="18"/>
              </w:rPr>
            </w:pPr>
            <w:r w:rsidRPr="00C02AD4">
              <w:rPr>
                <w:sz w:val="18"/>
                <w:szCs w:val="18"/>
              </w:rPr>
              <w:t>2</w:t>
            </w:r>
          </w:p>
        </w:tc>
        <w:tc>
          <w:tcPr>
            <w:tcW w:w="630" w:type="dxa"/>
            <w:tcBorders>
              <w:top w:val="single" w:sz="4" w:space="0" w:color="000000"/>
              <w:left w:val="nil"/>
              <w:bottom w:val="single" w:sz="4" w:space="0" w:color="000000"/>
              <w:right w:val="nil"/>
            </w:tcBorders>
            <w:shd w:val="clear" w:color="00529B" w:fill="DBE5F1" w:themeFill="accent1" w:themeFillTint="33"/>
            <w:tcMar>
              <w:top w:w="0" w:type="dxa"/>
              <w:left w:w="108" w:type="dxa"/>
              <w:bottom w:w="0" w:type="dxa"/>
              <w:right w:w="108" w:type="dxa"/>
            </w:tcMar>
            <w:vAlign w:val="center"/>
          </w:tcPr>
          <w:p w14:paraId="187DBCF6" w14:textId="77777777" w:rsidR="0030062D" w:rsidRPr="00C02AD4" w:rsidRDefault="0030062D" w:rsidP="00C02AD4">
            <w:pPr>
              <w:pStyle w:val="WorksheetTable"/>
              <w:spacing w:after="0" w:line="240" w:lineRule="auto"/>
              <w:rPr>
                <w:sz w:val="18"/>
                <w:szCs w:val="18"/>
              </w:rPr>
            </w:pPr>
            <w:r w:rsidRPr="00C02AD4">
              <w:rPr>
                <w:sz w:val="18"/>
                <w:szCs w:val="18"/>
              </w:rPr>
              <w:t>3</w:t>
            </w:r>
          </w:p>
        </w:tc>
      </w:tr>
      <w:tr w:rsidR="0030062D" w:rsidRPr="00C02AD4" w14:paraId="4E086137" w14:textId="77777777" w:rsidTr="00296E33">
        <w:trPr>
          <w:trHeight w:val="720"/>
        </w:trPr>
        <w:tc>
          <w:tcPr>
            <w:tcW w:w="412" w:type="dxa"/>
            <w:tcBorders>
              <w:top w:val="single" w:sz="4" w:space="0" w:color="000000"/>
              <w:left w:val="nil"/>
              <w:bottom w:val="single" w:sz="4" w:space="0" w:color="000000"/>
              <w:right w:val="nil"/>
            </w:tcBorders>
            <w:shd w:val="clear" w:color="00529B" w:fill="DBE5F1" w:themeFill="accent1" w:themeFillTint="33"/>
            <w:tcMar>
              <w:top w:w="0" w:type="dxa"/>
              <w:left w:w="108" w:type="dxa"/>
              <w:bottom w:w="0" w:type="dxa"/>
              <w:right w:w="108" w:type="dxa"/>
            </w:tcMar>
            <w:vAlign w:val="center"/>
          </w:tcPr>
          <w:p w14:paraId="2AA5B58C" w14:textId="77777777" w:rsidR="0030062D" w:rsidRPr="00C02AD4" w:rsidRDefault="0030062D" w:rsidP="00C02AD4">
            <w:pPr>
              <w:pStyle w:val="WorksheetTable"/>
              <w:spacing w:after="0" w:line="240" w:lineRule="auto"/>
              <w:rPr>
                <w:sz w:val="18"/>
                <w:szCs w:val="18"/>
              </w:rPr>
            </w:pPr>
            <w:r w:rsidRPr="00C02AD4">
              <w:rPr>
                <w:sz w:val="18"/>
                <w:szCs w:val="18"/>
              </w:rPr>
              <w:t>3.</w:t>
            </w:r>
          </w:p>
        </w:tc>
        <w:tc>
          <w:tcPr>
            <w:tcW w:w="7238" w:type="dxa"/>
            <w:tcBorders>
              <w:top w:val="single" w:sz="4" w:space="0" w:color="000000"/>
              <w:left w:val="nil"/>
              <w:bottom w:val="single" w:sz="4" w:space="0" w:color="000000"/>
              <w:right w:val="nil"/>
            </w:tcBorders>
            <w:shd w:val="clear" w:color="00529B" w:fill="DBE5F1" w:themeFill="accent1" w:themeFillTint="33"/>
            <w:tcMar>
              <w:top w:w="0" w:type="dxa"/>
              <w:left w:w="108" w:type="dxa"/>
              <w:bottom w:w="0" w:type="dxa"/>
              <w:right w:w="108" w:type="dxa"/>
            </w:tcMar>
            <w:vAlign w:val="center"/>
          </w:tcPr>
          <w:p w14:paraId="323282E4" w14:textId="60105263" w:rsidR="0030062D" w:rsidRPr="00C02AD4" w:rsidRDefault="0030062D" w:rsidP="00C02AD4">
            <w:pPr>
              <w:pStyle w:val="WorksheetTextWorksheets"/>
              <w:spacing w:after="0" w:line="240" w:lineRule="auto"/>
              <w:rPr>
                <w:sz w:val="18"/>
                <w:szCs w:val="18"/>
              </w:rPr>
            </w:pPr>
            <w:r w:rsidRPr="00C02AD4">
              <w:rPr>
                <w:sz w:val="18"/>
                <w:szCs w:val="18"/>
              </w:rPr>
              <w:t xml:space="preserve">Write a positionality statement. Sherry Hamby’s blogpost, </w:t>
            </w:r>
            <w:r w:rsidRPr="00C02AD4">
              <w:rPr>
                <w:i/>
                <w:sz w:val="18"/>
                <w:szCs w:val="18"/>
              </w:rPr>
              <w:t xml:space="preserve">Know thyself: How to write a reflexivity statement </w:t>
            </w:r>
            <w:r w:rsidRPr="00C02AD4">
              <w:rPr>
                <w:sz w:val="18"/>
                <w:szCs w:val="18"/>
              </w:rPr>
              <w:t>provides a useful guide for how to get started.</w:t>
            </w:r>
            <w:r w:rsidR="00A70F24" w:rsidRPr="00C02AD4">
              <w:rPr>
                <w:rStyle w:val="FootnoteReference"/>
                <w:sz w:val="18"/>
                <w:szCs w:val="18"/>
              </w:rPr>
              <w:footnoteReference w:id="5"/>
            </w:r>
          </w:p>
        </w:tc>
        <w:tc>
          <w:tcPr>
            <w:tcW w:w="540" w:type="dxa"/>
            <w:tcBorders>
              <w:top w:val="single" w:sz="4" w:space="0" w:color="000000"/>
              <w:left w:val="nil"/>
              <w:bottom w:val="single" w:sz="4" w:space="0" w:color="000000"/>
              <w:right w:val="nil"/>
            </w:tcBorders>
            <w:shd w:val="clear" w:color="00529B" w:fill="DBE5F1" w:themeFill="accent1" w:themeFillTint="33"/>
            <w:tcMar>
              <w:top w:w="0" w:type="dxa"/>
              <w:left w:w="108" w:type="dxa"/>
              <w:bottom w:w="0" w:type="dxa"/>
              <w:right w:w="108" w:type="dxa"/>
            </w:tcMar>
            <w:vAlign w:val="center"/>
          </w:tcPr>
          <w:p w14:paraId="56D44629" w14:textId="77777777" w:rsidR="0030062D" w:rsidRPr="00C02AD4" w:rsidRDefault="0030062D" w:rsidP="00C02AD4">
            <w:pPr>
              <w:pStyle w:val="WorksheetTable"/>
              <w:spacing w:after="0" w:line="240" w:lineRule="auto"/>
              <w:rPr>
                <w:sz w:val="18"/>
                <w:szCs w:val="18"/>
              </w:rPr>
            </w:pPr>
            <w:r w:rsidRPr="00C02AD4">
              <w:rPr>
                <w:sz w:val="18"/>
                <w:szCs w:val="18"/>
              </w:rPr>
              <w:t>1</w:t>
            </w:r>
          </w:p>
        </w:tc>
        <w:tc>
          <w:tcPr>
            <w:tcW w:w="540" w:type="dxa"/>
            <w:tcBorders>
              <w:top w:val="single" w:sz="4" w:space="0" w:color="000000"/>
              <w:left w:val="nil"/>
              <w:bottom w:val="single" w:sz="4" w:space="0" w:color="000000"/>
              <w:right w:val="nil"/>
            </w:tcBorders>
            <w:shd w:val="clear" w:color="00529B" w:fill="DBE5F1" w:themeFill="accent1" w:themeFillTint="33"/>
            <w:tcMar>
              <w:top w:w="0" w:type="dxa"/>
              <w:left w:w="108" w:type="dxa"/>
              <w:bottom w:w="0" w:type="dxa"/>
              <w:right w:w="108" w:type="dxa"/>
            </w:tcMar>
            <w:vAlign w:val="center"/>
          </w:tcPr>
          <w:p w14:paraId="28946ADD" w14:textId="77777777" w:rsidR="0030062D" w:rsidRPr="00C02AD4" w:rsidRDefault="0030062D" w:rsidP="00C02AD4">
            <w:pPr>
              <w:pStyle w:val="WorksheetTable"/>
              <w:spacing w:after="0" w:line="240" w:lineRule="auto"/>
              <w:rPr>
                <w:sz w:val="18"/>
                <w:szCs w:val="18"/>
              </w:rPr>
            </w:pPr>
            <w:r w:rsidRPr="00C02AD4">
              <w:rPr>
                <w:sz w:val="18"/>
                <w:szCs w:val="18"/>
              </w:rPr>
              <w:t>2</w:t>
            </w:r>
          </w:p>
        </w:tc>
        <w:tc>
          <w:tcPr>
            <w:tcW w:w="630" w:type="dxa"/>
            <w:tcBorders>
              <w:top w:val="single" w:sz="4" w:space="0" w:color="000000"/>
              <w:left w:val="nil"/>
              <w:bottom w:val="single" w:sz="4" w:space="0" w:color="000000"/>
              <w:right w:val="nil"/>
            </w:tcBorders>
            <w:shd w:val="clear" w:color="00529B" w:fill="DBE5F1" w:themeFill="accent1" w:themeFillTint="33"/>
            <w:tcMar>
              <w:top w:w="0" w:type="dxa"/>
              <w:left w:w="108" w:type="dxa"/>
              <w:bottom w:w="0" w:type="dxa"/>
              <w:right w:w="108" w:type="dxa"/>
            </w:tcMar>
            <w:vAlign w:val="center"/>
          </w:tcPr>
          <w:p w14:paraId="60D45D33" w14:textId="77777777" w:rsidR="0030062D" w:rsidRPr="00C02AD4" w:rsidRDefault="0030062D" w:rsidP="00C02AD4">
            <w:pPr>
              <w:pStyle w:val="WorksheetTable"/>
              <w:spacing w:after="0" w:line="240" w:lineRule="auto"/>
              <w:rPr>
                <w:sz w:val="18"/>
                <w:szCs w:val="18"/>
              </w:rPr>
            </w:pPr>
            <w:r w:rsidRPr="00C02AD4">
              <w:rPr>
                <w:sz w:val="18"/>
                <w:szCs w:val="18"/>
              </w:rPr>
              <w:t>3</w:t>
            </w:r>
          </w:p>
        </w:tc>
      </w:tr>
      <w:tr w:rsidR="0030062D" w14:paraId="690BAFF5" w14:textId="77777777" w:rsidTr="00D719A1">
        <w:trPr>
          <w:trHeight w:val="701"/>
        </w:trPr>
        <w:tc>
          <w:tcPr>
            <w:tcW w:w="9360" w:type="dxa"/>
            <w:gridSpan w:val="5"/>
            <w:tcBorders>
              <w:top w:val="single" w:sz="4" w:space="0" w:color="000000"/>
              <w:left w:val="nil"/>
              <w:bottom w:val="single" w:sz="4" w:space="0" w:color="000000"/>
              <w:right w:val="nil"/>
            </w:tcBorders>
            <w:shd w:val="clear" w:color="00529B" w:fill="1F497D" w:themeFill="text2"/>
            <w:tcMar>
              <w:top w:w="0" w:type="dxa"/>
              <w:left w:w="108" w:type="dxa"/>
              <w:bottom w:w="0" w:type="dxa"/>
              <w:right w:w="108" w:type="dxa"/>
            </w:tcMar>
            <w:vAlign w:val="center"/>
          </w:tcPr>
          <w:p w14:paraId="32866634" w14:textId="77777777" w:rsidR="0030062D" w:rsidRPr="00D719A1" w:rsidRDefault="0030062D" w:rsidP="00D719A1">
            <w:pPr>
              <w:pStyle w:val="WorksheetHeader"/>
              <w:spacing w:after="0"/>
              <w:jc w:val="center"/>
              <w:rPr>
                <w:color w:val="FFFFFF" w:themeColor="background1"/>
              </w:rPr>
            </w:pPr>
            <w:r w:rsidRPr="00D719A1">
              <w:rPr>
                <w:color w:val="FFFFFF" w:themeColor="background1"/>
              </w:rPr>
              <w:t>Developing empathy</w:t>
            </w:r>
          </w:p>
        </w:tc>
      </w:tr>
      <w:tr w:rsidR="0030062D" w:rsidRPr="00C02AD4" w14:paraId="201CACAD" w14:textId="77777777" w:rsidTr="00296E33">
        <w:trPr>
          <w:trHeight w:val="720"/>
        </w:trPr>
        <w:tc>
          <w:tcPr>
            <w:tcW w:w="412" w:type="dxa"/>
            <w:tcBorders>
              <w:top w:val="single" w:sz="4" w:space="0" w:color="000000"/>
              <w:left w:val="nil"/>
              <w:bottom w:val="single" w:sz="4" w:space="0" w:color="000000"/>
              <w:right w:val="nil"/>
            </w:tcBorders>
            <w:shd w:val="clear" w:color="00529B" w:fill="DBE5F1" w:themeFill="accent1" w:themeFillTint="33"/>
            <w:tcMar>
              <w:top w:w="0" w:type="dxa"/>
              <w:left w:w="108" w:type="dxa"/>
              <w:bottom w:w="0" w:type="dxa"/>
              <w:right w:w="108" w:type="dxa"/>
            </w:tcMar>
            <w:vAlign w:val="center"/>
          </w:tcPr>
          <w:p w14:paraId="006A2665" w14:textId="77777777" w:rsidR="0030062D" w:rsidRPr="00C02AD4" w:rsidRDefault="0030062D" w:rsidP="00C02AD4">
            <w:pPr>
              <w:pStyle w:val="WorksheetTable"/>
              <w:spacing w:after="0" w:line="240" w:lineRule="auto"/>
              <w:rPr>
                <w:sz w:val="18"/>
                <w:szCs w:val="18"/>
              </w:rPr>
            </w:pPr>
            <w:r w:rsidRPr="00C02AD4">
              <w:rPr>
                <w:sz w:val="18"/>
                <w:szCs w:val="18"/>
              </w:rPr>
              <w:t>1.</w:t>
            </w:r>
          </w:p>
        </w:tc>
        <w:tc>
          <w:tcPr>
            <w:tcW w:w="7238" w:type="dxa"/>
            <w:tcBorders>
              <w:top w:val="single" w:sz="4" w:space="0" w:color="000000"/>
              <w:left w:val="nil"/>
              <w:bottom w:val="single" w:sz="4" w:space="0" w:color="000000"/>
              <w:right w:val="nil"/>
            </w:tcBorders>
            <w:shd w:val="clear" w:color="00529B" w:fill="DBE5F1" w:themeFill="accent1" w:themeFillTint="33"/>
            <w:tcMar>
              <w:top w:w="0" w:type="dxa"/>
              <w:left w:w="108" w:type="dxa"/>
              <w:bottom w:w="0" w:type="dxa"/>
              <w:right w:w="108" w:type="dxa"/>
            </w:tcMar>
            <w:vAlign w:val="center"/>
          </w:tcPr>
          <w:p w14:paraId="034FA2BF" w14:textId="77777777" w:rsidR="0030062D" w:rsidRPr="00C02AD4" w:rsidRDefault="0030062D" w:rsidP="00C02AD4">
            <w:pPr>
              <w:pStyle w:val="WorksheetTable"/>
              <w:spacing w:after="0" w:line="240" w:lineRule="auto"/>
              <w:rPr>
                <w:sz w:val="18"/>
                <w:szCs w:val="18"/>
              </w:rPr>
            </w:pPr>
            <w:r w:rsidRPr="00C02AD4">
              <w:rPr>
                <w:sz w:val="18"/>
                <w:szCs w:val="18"/>
              </w:rPr>
              <w:t>Carefully understand the student within their sociocultural and institutional contexts.</w:t>
            </w:r>
          </w:p>
        </w:tc>
        <w:tc>
          <w:tcPr>
            <w:tcW w:w="540" w:type="dxa"/>
            <w:tcBorders>
              <w:top w:val="single" w:sz="4" w:space="0" w:color="000000"/>
              <w:left w:val="nil"/>
              <w:bottom w:val="single" w:sz="4" w:space="0" w:color="000000"/>
              <w:right w:val="nil"/>
            </w:tcBorders>
            <w:shd w:val="clear" w:color="00529B" w:fill="DBE5F1" w:themeFill="accent1" w:themeFillTint="33"/>
            <w:tcMar>
              <w:top w:w="0" w:type="dxa"/>
              <w:left w:w="108" w:type="dxa"/>
              <w:bottom w:w="0" w:type="dxa"/>
              <w:right w:w="108" w:type="dxa"/>
            </w:tcMar>
            <w:vAlign w:val="center"/>
          </w:tcPr>
          <w:p w14:paraId="212339C1" w14:textId="77777777" w:rsidR="0030062D" w:rsidRPr="00C02AD4" w:rsidRDefault="0030062D" w:rsidP="00C02AD4">
            <w:pPr>
              <w:pStyle w:val="WorksheetTable"/>
              <w:spacing w:after="0" w:line="240" w:lineRule="auto"/>
              <w:rPr>
                <w:sz w:val="18"/>
                <w:szCs w:val="18"/>
              </w:rPr>
            </w:pPr>
            <w:r w:rsidRPr="00C02AD4">
              <w:rPr>
                <w:sz w:val="18"/>
                <w:szCs w:val="18"/>
              </w:rPr>
              <w:t>1</w:t>
            </w:r>
          </w:p>
        </w:tc>
        <w:tc>
          <w:tcPr>
            <w:tcW w:w="540" w:type="dxa"/>
            <w:tcBorders>
              <w:top w:val="single" w:sz="4" w:space="0" w:color="000000"/>
              <w:left w:val="nil"/>
              <w:bottom w:val="single" w:sz="4" w:space="0" w:color="000000"/>
              <w:right w:val="nil"/>
            </w:tcBorders>
            <w:shd w:val="clear" w:color="00529B" w:fill="DBE5F1" w:themeFill="accent1" w:themeFillTint="33"/>
            <w:tcMar>
              <w:top w:w="0" w:type="dxa"/>
              <w:left w:w="108" w:type="dxa"/>
              <w:bottom w:w="0" w:type="dxa"/>
              <w:right w:w="108" w:type="dxa"/>
            </w:tcMar>
            <w:vAlign w:val="center"/>
          </w:tcPr>
          <w:p w14:paraId="5F6B6136" w14:textId="77777777" w:rsidR="0030062D" w:rsidRPr="00C02AD4" w:rsidRDefault="0030062D" w:rsidP="00C02AD4">
            <w:pPr>
              <w:pStyle w:val="WorksheetTable"/>
              <w:spacing w:after="0" w:line="240" w:lineRule="auto"/>
              <w:rPr>
                <w:sz w:val="18"/>
                <w:szCs w:val="18"/>
              </w:rPr>
            </w:pPr>
            <w:r w:rsidRPr="00C02AD4">
              <w:rPr>
                <w:sz w:val="18"/>
                <w:szCs w:val="18"/>
              </w:rPr>
              <w:t>2</w:t>
            </w:r>
          </w:p>
        </w:tc>
        <w:tc>
          <w:tcPr>
            <w:tcW w:w="630" w:type="dxa"/>
            <w:tcBorders>
              <w:top w:val="single" w:sz="4" w:space="0" w:color="000000"/>
              <w:left w:val="nil"/>
              <w:bottom w:val="single" w:sz="4" w:space="0" w:color="000000"/>
              <w:right w:val="nil"/>
            </w:tcBorders>
            <w:shd w:val="clear" w:color="00529B" w:fill="DBE5F1" w:themeFill="accent1" w:themeFillTint="33"/>
            <w:tcMar>
              <w:top w:w="0" w:type="dxa"/>
              <w:left w:w="108" w:type="dxa"/>
              <w:bottom w:w="0" w:type="dxa"/>
              <w:right w:w="108" w:type="dxa"/>
            </w:tcMar>
            <w:vAlign w:val="center"/>
          </w:tcPr>
          <w:p w14:paraId="357D39BC" w14:textId="77777777" w:rsidR="0030062D" w:rsidRPr="00C02AD4" w:rsidRDefault="0030062D" w:rsidP="00C02AD4">
            <w:pPr>
              <w:pStyle w:val="WorksheetTable"/>
              <w:spacing w:after="0" w:line="240" w:lineRule="auto"/>
              <w:rPr>
                <w:sz w:val="18"/>
                <w:szCs w:val="18"/>
              </w:rPr>
            </w:pPr>
            <w:r w:rsidRPr="00C02AD4">
              <w:rPr>
                <w:sz w:val="18"/>
                <w:szCs w:val="18"/>
              </w:rPr>
              <w:t>3</w:t>
            </w:r>
          </w:p>
        </w:tc>
      </w:tr>
      <w:tr w:rsidR="0030062D" w:rsidRPr="00C02AD4" w14:paraId="677E4ABE" w14:textId="77777777" w:rsidTr="00296E33">
        <w:trPr>
          <w:trHeight w:val="720"/>
        </w:trPr>
        <w:tc>
          <w:tcPr>
            <w:tcW w:w="412" w:type="dxa"/>
            <w:tcBorders>
              <w:top w:val="single" w:sz="4" w:space="0" w:color="000000"/>
              <w:left w:val="nil"/>
              <w:bottom w:val="single" w:sz="4" w:space="0" w:color="000000"/>
              <w:right w:val="nil"/>
            </w:tcBorders>
            <w:shd w:val="clear" w:color="00529B" w:fill="DBE5F1" w:themeFill="accent1" w:themeFillTint="33"/>
            <w:tcMar>
              <w:top w:w="0" w:type="dxa"/>
              <w:left w:w="108" w:type="dxa"/>
              <w:bottom w:w="0" w:type="dxa"/>
              <w:right w:w="108" w:type="dxa"/>
            </w:tcMar>
            <w:vAlign w:val="center"/>
          </w:tcPr>
          <w:p w14:paraId="0719385A" w14:textId="77777777" w:rsidR="0030062D" w:rsidRPr="00C02AD4" w:rsidRDefault="0030062D" w:rsidP="00C02AD4">
            <w:pPr>
              <w:pStyle w:val="WorksheetTable"/>
              <w:spacing w:after="0" w:line="240" w:lineRule="auto"/>
              <w:rPr>
                <w:sz w:val="18"/>
                <w:szCs w:val="18"/>
              </w:rPr>
            </w:pPr>
            <w:r w:rsidRPr="00C02AD4">
              <w:rPr>
                <w:sz w:val="18"/>
                <w:szCs w:val="18"/>
              </w:rPr>
              <w:t>2.</w:t>
            </w:r>
          </w:p>
        </w:tc>
        <w:tc>
          <w:tcPr>
            <w:tcW w:w="7238" w:type="dxa"/>
            <w:tcBorders>
              <w:top w:val="single" w:sz="4" w:space="0" w:color="000000"/>
              <w:left w:val="nil"/>
              <w:bottom w:val="single" w:sz="4" w:space="0" w:color="000000"/>
              <w:right w:val="nil"/>
            </w:tcBorders>
            <w:shd w:val="clear" w:color="00529B" w:fill="DBE5F1" w:themeFill="accent1" w:themeFillTint="33"/>
            <w:tcMar>
              <w:top w:w="0" w:type="dxa"/>
              <w:left w:w="108" w:type="dxa"/>
              <w:bottom w:w="0" w:type="dxa"/>
              <w:right w:w="108" w:type="dxa"/>
            </w:tcMar>
            <w:vAlign w:val="center"/>
          </w:tcPr>
          <w:p w14:paraId="6D937D74" w14:textId="77777777" w:rsidR="0030062D" w:rsidRPr="00C02AD4" w:rsidRDefault="0030062D" w:rsidP="00C02AD4">
            <w:pPr>
              <w:pStyle w:val="WorksheetTable"/>
              <w:spacing w:after="0" w:line="240" w:lineRule="auto"/>
              <w:rPr>
                <w:sz w:val="18"/>
                <w:szCs w:val="18"/>
              </w:rPr>
            </w:pPr>
            <w:r w:rsidRPr="00C02AD4">
              <w:rPr>
                <w:sz w:val="18"/>
                <w:szCs w:val="18"/>
              </w:rPr>
              <w:t>Provide opportunities for students to share their personal narratives (student voice) and use that to build relationships and pedagogies reflecting the inclusion of those voices.</w:t>
            </w:r>
          </w:p>
        </w:tc>
        <w:tc>
          <w:tcPr>
            <w:tcW w:w="540" w:type="dxa"/>
            <w:tcBorders>
              <w:top w:val="single" w:sz="4" w:space="0" w:color="000000"/>
              <w:left w:val="nil"/>
              <w:bottom w:val="single" w:sz="4" w:space="0" w:color="000000"/>
              <w:right w:val="nil"/>
            </w:tcBorders>
            <w:shd w:val="clear" w:color="00529B" w:fill="DBE5F1" w:themeFill="accent1" w:themeFillTint="33"/>
            <w:tcMar>
              <w:top w:w="0" w:type="dxa"/>
              <w:left w:w="108" w:type="dxa"/>
              <w:bottom w:w="0" w:type="dxa"/>
              <w:right w:w="108" w:type="dxa"/>
            </w:tcMar>
            <w:vAlign w:val="center"/>
          </w:tcPr>
          <w:p w14:paraId="4E40C426" w14:textId="77777777" w:rsidR="0030062D" w:rsidRPr="00C02AD4" w:rsidRDefault="0030062D" w:rsidP="00C02AD4">
            <w:pPr>
              <w:pStyle w:val="WorksheetTable"/>
              <w:spacing w:after="0" w:line="240" w:lineRule="auto"/>
              <w:rPr>
                <w:sz w:val="18"/>
                <w:szCs w:val="18"/>
              </w:rPr>
            </w:pPr>
            <w:r w:rsidRPr="00C02AD4">
              <w:rPr>
                <w:sz w:val="18"/>
                <w:szCs w:val="18"/>
              </w:rPr>
              <w:t>1</w:t>
            </w:r>
          </w:p>
        </w:tc>
        <w:tc>
          <w:tcPr>
            <w:tcW w:w="540" w:type="dxa"/>
            <w:tcBorders>
              <w:top w:val="single" w:sz="4" w:space="0" w:color="000000"/>
              <w:left w:val="nil"/>
              <w:bottom w:val="single" w:sz="4" w:space="0" w:color="000000"/>
              <w:right w:val="nil"/>
            </w:tcBorders>
            <w:shd w:val="clear" w:color="00529B" w:fill="DBE5F1" w:themeFill="accent1" w:themeFillTint="33"/>
            <w:tcMar>
              <w:top w:w="0" w:type="dxa"/>
              <w:left w:w="108" w:type="dxa"/>
              <w:bottom w:w="0" w:type="dxa"/>
              <w:right w:w="108" w:type="dxa"/>
            </w:tcMar>
            <w:vAlign w:val="center"/>
          </w:tcPr>
          <w:p w14:paraId="25B1CD22" w14:textId="77777777" w:rsidR="0030062D" w:rsidRPr="00C02AD4" w:rsidRDefault="0030062D" w:rsidP="00C02AD4">
            <w:pPr>
              <w:pStyle w:val="WorksheetTable"/>
              <w:spacing w:after="0" w:line="240" w:lineRule="auto"/>
              <w:rPr>
                <w:sz w:val="18"/>
                <w:szCs w:val="18"/>
              </w:rPr>
            </w:pPr>
            <w:r w:rsidRPr="00C02AD4">
              <w:rPr>
                <w:sz w:val="18"/>
                <w:szCs w:val="18"/>
              </w:rPr>
              <w:t>2</w:t>
            </w:r>
          </w:p>
        </w:tc>
        <w:tc>
          <w:tcPr>
            <w:tcW w:w="630" w:type="dxa"/>
            <w:tcBorders>
              <w:top w:val="single" w:sz="4" w:space="0" w:color="000000"/>
              <w:left w:val="nil"/>
              <w:bottom w:val="single" w:sz="4" w:space="0" w:color="000000"/>
              <w:right w:val="nil"/>
            </w:tcBorders>
            <w:shd w:val="clear" w:color="00529B" w:fill="DBE5F1" w:themeFill="accent1" w:themeFillTint="33"/>
            <w:tcMar>
              <w:top w:w="0" w:type="dxa"/>
              <w:left w:w="108" w:type="dxa"/>
              <w:bottom w:w="0" w:type="dxa"/>
              <w:right w:w="108" w:type="dxa"/>
            </w:tcMar>
            <w:vAlign w:val="center"/>
          </w:tcPr>
          <w:p w14:paraId="31175756" w14:textId="77777777" w:rsidR="0030062D" w:rsidRPr="00C02AD4" w:rsidRDefault="0030062D" w:rsidP="00C02AD4">
            <w:pPr>
              <w:pStyle w:val="WorksheetTable"/>
              <w:spacing w:after="0" w:line="240" w:lineRule="auto"/>
              <w:rPr>
                <w:sz w:val="18"/>
                <w:szCs w:val="18"/>
              </w:rPr>
            </w:pPr>
            <w:r w:rsidRPr="00C02AD4">
              <w:rPr>
                <w:sz w:val="18"/>
                <w:szCs w:val="18"/>
              </w:rPr>
              <w:t>3</w:t>
            </w:r>
          </w:p>
        </w:tc>
      </w:tr>
      <w:tr w:rsidR="0030062D" w:rsidRPr="00C02AD4" w14:paraId="5C826701" w14:textId="77777777" w:rsidTr="00296E33">
        <w:trPr>
          <w:trHeight w:val="720"/>
        </w:trPr>
        <w:tc>
          <w:tcPr>
            <w:tcW w:w="412" w:type="dxa"/>
            <w:tcBorders>
              <w:top w:val="single" w:sz="4" w:space="0" w:color="000000"/>
              <w:left w:val="nil"/>
              <w:bottom w:val="single" w:sz="4" w:space="0" w:color="000000"/>
              <w:right w:val="nil"/>
            </w:tcBorders>
            <w:shd w:val="clear" w:color="00529B" w:fill="DBE5F1" w:themeFill="accent1" w:themeFillTint="33"/>
            <w:tcMar>
              <w:top w:w="0" w:type="dxa"/>
              <w:left w:w="108" w:type="dxa"/>
              <w:bottom w:w="0" w:type="dxa"/>
              <w:right w:w="108" w:type="dxa"/>
            </w:tcMar>
            <w:vAlign w:val="center"/>
          </w:tcPr>
          <w:p w14:paraId="73064651" w14:textId="77777777" w:rsidR="0030062D" w:rsidRPr="00C02AD4" w:rsidRDefault="0030062D" w:rsidP="00C02AD4">
            <w:pPr>
              <w:pStyle w:val="WorksheetTable"/>
              <w:spacing w:after="0" w:line="240" w:lineRule="auto"/>
              <w:rPr>
                <w:sz w:val="18"/>
                <w:szCs w:val="18"/>
              </w:rPr>
            </w:pPr>
            <w:r w:rsidRPr="00C02AD4">
              <w:rPr>
                <w:sz w:val="18"/>
                <w:szCs w:val="18"/>
              </w:rPr>
              <w:t>3.</w:t>
            </w:r>
          </w:p>
        </w:tc>
        <w:tc>
          <w:tcPr>
            <w:tcW w:w="7238" w:type="dxa"/>
            <w:tcBorders>
              <w:top w:val="single" w:sz="4" w:space="0" w:color="000000"/>
              <w:left w:val="nil"/>
              <w:bottom w:val="single" w:sz="4" w:space="0" w:color="000000"/>
              <w:right w:val="nil"/>
            </w:tcBorders>
            <w:shd w:val="clear" w:color="00529B" w:fill="DBE5F1" w:themeFill="accent1" w:themeFillTint="33"/>
            <w:tcMar>
              <w:top w:w="0" w:type="dxa"/>
              <w:left w:w="108" w:type="dxa"/>
              <w:bottom w:w="0" w:type="dxa"/>
              <w:right w:w="108" w:type="dxa"/>
            </w:tcMar>
            <w:vAlign w:val="center"/>
          </w:tcPr>
          <w:p w14:paraId="52C495D3" w14:textId="77777777" w:rsidR="0030062D" w:rsidRPr="00C02AD4" w:rsidRDefault="0030062D" w:rsidP="00C02AD4">
            <w:pPr>
              <w:pStyle w:val="WorksheetTable"/>
              <w:spacing w:after="0" w:line="240" w:lineRule="auto"/>
              <w:rPr>
                <w:sz w:val="18"/>
                <w:szCs w:val="18"/>
              </w:rPr>
            </w:pPr>
            <w:r w:rsidRPr="00C02AD4">
              <w:rPr>
                <w:sz w:val="18"/>
                <w:szCs w:val="18"/>
              </w:rPr>
              <w:t>Read literature on the sociology and psychology of the student higher education experience. </w:t>
            </w:r>
          </w:p>
        </w:tc>
        <w:tc>
          <w:tcPr>
            <w:tcW w:w="540" w:type="dxa"/>
            <w:tcBorders>
              <w:top w:val="single" w:sz="4" w:space="0" w:color="000000"/>
              <w:left w:val="nil"/>
              <w:bottom w:val="single" w:sz="4" w:space="0" w:color="000000"/>
              <w:right w:val="nil"/>
            </w:tcBorders>
            <w:shd w:val="clear" w:color="00529B" w:fill="DBE5F1" w:themeFill="accent1" w:themeFillTint="33"/>
            <w:tcMar>
              <w:top w:w="0" w:type="dxa"/>
              <w:left w:w="108" w:type="dxa"/>
              <w:bottom w:w="0" w:type="dxa"/>
              <w:right w:w="108" w:type="dxa"/>
            </w:tcMar>
            <w:vAlign w:val="center"/>
          </w:tcPr>
          <w:p w14:paraId="5AB497FE" w14:textId="77777777" w:rsidR="0030062D" w:rsidRPr="00C02AD4" w:rsidRDefault="0030062D" w:rsidP="00C02AD4">
            <w:pPr>
              <w:pStyle w:val="WorksheetTable"/>
              <w:spacing w:after="0" w:line="240" w:lineRule="auto"/>
              <w:rPr>
                <w:sz w:val="18"/>
                <w:szCs w:val="18"/>
              </w:rPr>
            </w:pPr>
            <w:r w:rsidRPr="00C02AD4">
              <w:rPr>
                <w:sz w:val="18"/>
                <w:szCs w:val="18"/>
              </w:rPr>
              <w:t>1</w:t>
            </w:r>
          </w:p>
        </w:tc>
        <w:tc>
          <w:tcPr>
            <w:tcW w:w="540" w:type="dxa"/>
            <w:tcBorders>
              <w:top w:val="single" w:sz="4" w:space="0" w:color="000000"/>
              <w:left w:val="nil"/>
              <w:bottom w:val="single" w:sz="4" w:space="0" w:color="000000"/>
              <w:right w:val="nil"/>
            </w:tcBorders>
            <w:shd w:val="clear" w:color="00529B" w:fill="DBE5F1" w:themeFill="accent1" w:themeFillTint="33"/>
            <w:tcMar>
              <w:top w:w="0" w:type="dxa"/>
              <w:left w:w="108" w:type="dxa"/>
              <w:bottom w:w="0" w:type="dxa"/>
              <w:right w:w="108" w:type="dxa"/>
            </w:tcMar>
            <w:vAlign w:val="center"/>
          </w:tcPr>
          <w:p w14:paraId="5D37CB08" w14:textId="77777777" w:rsidR="0030062D" w:rsidRPr="00C02AD4" w:rsidRDefault="0030062D" w:rsidP="00C02AD4">
            <w:pPr>
              <w:pStyle w:val="WorksheetTable"/>
              <w:spacing w:after="0" w:line="240" w:lineRule="auto"/>
              <w:rPr>
                <w:sz w:val="18"/>
                <w:szCs w:val="18"/>
              </w:rPr>
            </w:pPr>
            <w:r w:rsidRPr="00C02AD4">
              <w:rPr>
                <w:sz w:val="18"/>
                <w:szCs w:val="18"/>
              </w:rPr>
              <w:t>2</w:t>
            </w:r>
          </w:p>
        </w:tc>
        <w:tc>
          <w:tcPr>
            <w:tcW w:w="630" w:type="dxa"/>
            <w:tcBorders>
              <w:top w:val="single" w:sz="4" w:space="0" w:color="000000"/>
              <w:left w:val="nil"/>
              <w:bottom w:val="single" w:sz="4" w:space="0" w:color="000000"/>
              <w:right w:val="nil"/>
            </w:tcBorders>
            <w:shd w:val="clear" w:color="00529B" w:fill="DBE5F1" w:themeFill="accent1" w:themeFillTint="33"/>
            <w:tcMar>
              <w:top w:w="0" w:type="dxa"/>
              <w:left w:w="108" w:type="dxa"/>
              <w:bottom w:w="0" w:type="dxa"/>
              <w:right w:w="108" w:type="dxa"/>
            </w:tcMar>
            <w:vAlign w:val="center"/>
          </w:tcPr>
          <w:p w14:paraId="4074D0FE" w14:textId="77777777" w:rsidR="0030062D" w:rsidRPr="00C02AD4" w:rsidRDefault="0030062D" w:rsidP="00C02AD4">
            <w:pPr>
              <w:pStyle w:val="WorksheetTable"/>
              <w:spacing w:after="0" w:line="240" w:lineRule="auto"/>
              <w:rPr>
                <w:sz w:val="18"/>
                <w:szCs w:val="18"/>
              </w:rPr>
            </w:pPr>
            <w:r w:rsidRPr="00C02AD4">
              <w:rPr>
                <w:sz w:val="18"/>
                <w:szCs w:val="18"/>
              </w:rPr>
              <w:t>3</w:t>
            </w:r>
          </w:p>
        </w:tc>
      </w:tr>
      <w:tr w:rsidR="0030062D" w:rsidRPr="00C02AD4" w14:paraId="2B2E1DB1" w14:textId="77777777" w:rsidTr="00296E33">
        <w:trPr>
          <w:trHeight w:val="720"/>
        </w:trPr>
        <w:tc>
          <w:tcPr>
            <w:tcW w:w="412" w:type="dxa"/>
            <w:tcBorders>
              <w:top w:val="single" w:sz="4" w:space="0" w:color="000000"/>
              <w:left w:val="nil"/>
              <w:bottom w:val="single" w:sz="4" w:space="0" w:color="000000"/>
              <w:right w:val="nil"/>
            </w:tcBorders>
            <w:shd w:val="clear" w:color="00529B" w:fill="DBE5F1" w:themeFill="accent1" w:themeFillTint="33"/>
            <w:tcMar>
              <w:top w:w="0" w:type="dxa"/>
              <w:left w:w="108" w:type="dxa"/>
              <w:bottom w:w="0" w:type="dxa"/>
              <w:right w:w="108" w:type="dxa"/>
            </w:tcMar>
            <w:vAlign w:val="center"/>
          </w:tcPr>
          <w:p w14:paraId="11B67D30" w14:textId="77777777" w:rsidR="0030062D" w:rsidRPr="00C02AD4" w:rsidRDefault="0030062D" w:rsidP="00C02AD4">
            <w:pPr>
              <w:pStyle w:val="WorksheetTable"/>
              <w:spacing w:after="0" w:line="240" w:lineRule="auto"/>
              <w:rPr>
                <w:sz w:val="18"/>
                <w:szCs w:val="18"/>
              </w:rPr>
            </w:pPr>
            <w:r w:rsidRPr="00C02AD4">
              <w:rPr>
                <w:sz w:val="18"/>
                <w:szCs w:val="18"/>
              </w:rPr>
              <w:t>4.</w:t>
            </w:r>
          </w:p>
        </w:tc>
        <w:tc>
          <w:tcPr>
            <w:tcW w:w="7238" w:type="dxa"/>
            <w:tcBorders>
              <w:top w:val="single" w:sz="4" w:space="0" w:color="000000"/>
              <w:left w:val="nil"/>
              <w:bottom w:val="single" w:sz="4" w:space="0" w:color="000000"/>
              <w:right w:val="nil"/>
            </w:tcBorders>
            <w:shd w:val="clear" w:color="00529B" w:fill="DBE5F1" w:themeFill="accent1" w:themeFillTint="33"/>
            <w:tcMar>
              <w:top w:w="0" w:type="dxa"/>
              <w:left w:w="108" w:type="dxa"/>
              <w:bottom w:w="0" w:type="dxa"/>
              <w:right w:w="108" w:type="dxa"/>
            </w:tcMar>
            <w:vAlign w:val="center"/>
          </w:tcPr>
          <w:p w14:paraId="20ED5C87" w14:textId="77777777" w:rsidR="0030062D" w:rsidRPr="00C02AD4" w:rsidRDefault="0030062D" w:rsidP="00C02AD4">
            <w:pPr>
              <w:pStyle w:val="WorksheetTable"/>
              <w:spacing w:after="0" w:line="240" w:lineRule="auto"/>
              <w:rPr>
                <w:sz w:val="18"/>
                <w:szCs w:val="18"/>
              </w:rPr>
            </w:pPr>
            <w:r w:rsidRPr="00C02AD4">
              <w:rPr>
                <w:sz w:val="18"/>
                <w:szCs w:val="18"/>
              </w:rPr>
              <w:t>Create opportunities for dialogue beyond individual meetings. Casual conversations before class begins or in the hallway can be extraordinarily impactful.</w:t>
            </w:r>
          </w:p>
        </w:tc>
        <w:tc>
          <w:tcPr>
            <w:tcW w:w="540" w:type="dxa"/>
            <w:tcBorders>
              <w:top w:val="single" w:sz="4" w:space="0" w:color="000000"/>
              <w:left w:val="nil"/>
              <w:bottom w:val="single" w:sz="4" w:space="0" w:color="000000"/>
              <w:right w:val="nil"/>
            </w:tcBorders>
            <w:shd w:val="clear" w:color="00529B" w:fill="DBE5F1" w:themeFill="accent1" w:themeFillTint="33"/>
            <w:tcMar>
              <w:top w:w="0" w:type="dxa"/>
              <w:left w:w="108" w:type="dxa"/>
              <w:bottom w:w="0" w:type="dxa"/>
              <w:right w:w="108" w:type="dxa"/>
            </w:tcMar>
            <w:vAlign w:val="center"/>
          </w:tcPr>
          <w:p w14:paraId="4D036276" w14:textId="77777777" w:rsidR="0030062D" w:rsidRPr="00C02AD4" w:rsidRDefault="0030062D" w:rsidP="00C02AD4">
            <w:pPr>
              <w:pStyle w:val="WorksheetTable"/>
              <w:spacing w:after="0" w:line="240" w:lineRule="auto"/>
              <w:rPr>
                <w:sz w:val="18"/>
                <w:szCs w:val="18"/>
              </w:rPr>
            </w:pPr>
            <w:r w:rsidRPr="00C02AD4">
              <w:rPr>
                <w:sz w:val="18"/>
                <w:szCs w:val="18"/>
              </w:rPr>
              <w:t>1</w:t>
            </w:r>
          </w:p>
        </w:tc>
        <w:tc>
          <w:tcPr>
            <w:tcW w:w="540" w:type="dxa"/>
            <w:tcBorders>
              <w:top w:val="single" w:sz="4" w:space="0" w:color="000000"/>
              <w:left w:val="nil"/>
              <w:bottom w:val="single" w:sz="4" w:space="0" w:color="000000"/>
              <w:right w:val="nil"/>
            </w:tcBorders>
            <w:shd w:val="clear" w:color="00529B" w:fill="DBE5F1" w:themeFill="accent1" w:themeFillTint="33"/>
            <w:tcMar>
              <w:top w:w="0" w:type="dxa"/>
              <w:left w:w="108" w:type="dxa"/>
              <w:bottom w:w="0" w:type="dxa"/>
              <w:right w:w="108" w:type="dxa"/>
            </w:tcMar>
            <w:vAlign w:val="center"/>
          </w:tcPr>
          <w:p w14:paraId="15E52448" w14:textId="77777777" w:rsidR="0030062D" w:rsidRPr="00C02AD4" w:rsidRDefault="0030062D" w:rsidP="00C02AD4">
            <w:pPr>
              <w:pStyle w:val="WorksheetTable"/>
              <w:spacing w:after="0" w:line="240" w:lineRule="auto"/>
              <w:rPr>
                <w:sz w:val="18"/>
                <w:szCs w:val="18"/>
              </w:rPr>
            </w:pPr>
            <w:r w:rsidRPr="00C02AD4">
              <w:rPr>
                <w:sz w:val="18"/>
                <w:szCs w:val="18"/>
              </w:rPr>
              <w:t>2</w:t>
            </w:r>
          </w:p>
        </w:tc>
        <w:tc>
          <w:tcPr>
            <w:tcW w:w="630" w:type="dxa"/>
            <w:tcBorders>
              <w:top w:val="single" w:sz="4" w:space="0" w:color="000000"/>
              <w:left w:val="nil"/>
              <w:bottom w:val="single" w:sz="4" w:space="0" w:color="000000"/>
              <w:right w:val="nil"/>
            </w:tcBorders>
            <w:shd w:val="clear" w:color="00529B" w:fill="DBE5F1" w:themeFill="accent1" w:themeFillTint="33"/>
            <w:tcMar>
              <w:top w:w="0" w:type="dxa"/>
              <w:left w:w="108" w:type="dxa"/>
              <w:bottom w:w="0" w:type="dxa"/>
              <w:right w:w="108" w:type="dxa"/>
            </w:tcMar>
            <w:vAlign w:val="center"/>
          </w:tcPr>
          <w:p w14:paraId="12ADA8B7" w14:textId="77777777" w:rsidR="0030062D" w:rsidRPr="00C02AD4" w:rsidRDefault="0030062D" w:rsidP="00C02AD4">
            <w:pPr>
              <w:pStyle w:val="WorksheetTable"/>
              <w:spacing w:after="0" w:line="240" w:lineRule="auto"/>
              <w:rPr>
                <w:sz w:val="18"/>
                <w:szCs w:val="18"/>
              </w:rPr>
            </w:pPr>
            <w:r w:rsidRPr="00C02AD4">
              <w:rPr>
                <w:sz w:val="18"/>
                <w:szCs w:val="18"/>
              </w:rPr>
              <w:t>3</w:t>
            </w:r>
          </w:p>
        </w:tc>
      </w:tr>
      <w:tr w:rsidR="0030062D" w:rsidRPr="00C02AD4" w14:paraId="03FA2A04" w14:textId="77777777" w:rsidTr="00296E33">
        <w:trPr>
          <w:trHeight w:val="720"/>
        </w:trPr>
        <w:tc>
          <w:tcPr>
            <w:tcW w:w="412" w:type="dxa"/>
            <w:tcBorders>
              <w:top w:val="single" w:sz="4" w:space="0" w:color="000000"/>
              <w:left w:val="nil"/>
              <w:bottom w:val="single" w:sz="4" w:space="0" w:color="000000"/>
              <w:right w:val="nil"/>
            </w:tcBorders>
            <w:shd w:val="clear" w:color="00529B" w:fill="DBE5F1" w:themeFill="accent1" w:themeFillTint="33"/>
            <w:tcMar>
              <w:top w:w="0" w:type="dxa"/>
              <w:left w:w="108" w:type="dxa"/>
              <w:bottom w:w="0" w:type="dxa"/>
              <w:right w:w="108" w:type="dxa"/>
            </w:tcMar>
            <w:vAlign w:val="center"/>
          </w:tcPr>
          <w:p w14:paraId="2335E565" w14:textId="77777777" w:rsidR="0030062D" w:rsidRPr="00C02AD4" w:rsidRDefault="0030062D" w:rsidP="00C02AD4">
            <w:pPr>
              <w:pStyle w:val="WorksheetTable"/>
              <w:spacing w:after="0" w:line="240" w:lineRule="auto"/>
              <w:rPr>
                <w:sz w:val="18"/>
                <w:szCs w:val="18"/>
              </w:rPr>
            </w:pPr>
            <w:r w:rsidRPr="00C02AD4">
              <w:rPr>
                <w:sz w:val="18"/>
                <w:szCs w:val="18"/>
              </w:rPr>
              <w:t>5.</w:t>
            </w:r>
          </w:p>
        </w:tc>
        <w:tc>
          <w:tcPr>
            <w:tcW w:w="7238" w:type="dxa"/>
            <w:tcBorders>
              <w:top w:val="single" w:sz="4" w:space="0" w:color="000000"/>
              <w:left w:val="nil"/>
              <w:bottom w:val="single" w:sz="4" w:space="0" w:color="000000"/>
              <w:right w:val="nil"/>
            </w:tcBorders>
            <w:shd w:val="clear" w:color="00529B" w:fill="DBE5F1" w:themeFill="accent1" w:themeFillTint="33"/>
            <w:tcMar>
              <w:top w:w="0" w:type="dxa"/>
              <w:left w:w="108" w:type="dxa"/>
              <w:bottom w:w="0" w:type="dxa"/>
              <w:right w:w="108" w:type="dxa"/>
            </w:tcMar>
            <w:vAlign w:val="center"/>
          </w:tcPr>
          <w:p w14:paraId="65AE2237" w14:textId="77777777" w:rsidR="0030062D" w:rsidRPr="00C02AD4" w:rsidRDefault="0030062D" w:rsidP="00C02AD4">
            <w:pPr>
              <w:pStyle w:val="WorksheetTable"/>
              <w:spacing w:after="0" w:line="240" w:lineRule="auto"/>
              <w:rPr>
                <w:sz w:val="18"/>
                <w:szCs w:val="18"/>
              </w:rPr>
            </w:pPr>
            <w:r w:rsidRPr="00C02AD4">
              <w:rPr>
                <w:sz w:val="18"/>
                <w:szCs w:val="18"/>
              </w:rPr>
              <w:t>Provide students an opportunity for agency, both in terms of articulation of the material and sharing their story with you/others. Their unique voices should form the framework around which the pedagogy is built.</w:t>
            </w:r>
          </w:p>
        </w:tc>
        <w:tc>
          <w:tcPr>
            <w:tcW w:w="540" w:type="dxa"/>
            <w:tcBorders>
              <w:top w:val="single" w:sz="4" w:space="0" w:color="000000"/>
              <w:left w:val="nil"/>
              <w:bottom w:val="single" w:sz="4" w:space="0" w:color="000000"/>
              <w:right w:val="nil"/>
            </w:tcBorders>
            <w:shd w:val="clear" w:color="00529B" w:fill="DBE5F1" w:themeFill="accent1" w:themeFillTint="33"/>
            <w:tcMar>
              <w:top w:w="0" w:type="dxa"/>
              <w:left w:w="108" w:type="dxa"/>
              <w:bottom w:w="0" w:type="dxa"/>
              <w:right w:w="108" w:type="dxa"/>
            </w:tcMar>
            <w:vAlign w:val="center"/>
          </w:tcPr>
          <w:p w14:paraId="64637F9B" w14:textId="77777777" w:rsidR="0030062D" w:rsidRPr="00C02AD4" w:rsidRDefault="0030062D" w:rsidP="00C02AD4">
            <w:pPr>
              <w:pStyle w:val="WorksheetTable"/>
              <w:spacing w:after="0" w:line="240" w:lineRule="auto"/>
              <w:rPr>
                <w:sz w:val="18"/>
                <w:szCs w:val="18"/>
              </w:rPr>
            </w:pPr>
            <w:r w:rsidRPr="00C02AD4">
              <w:rPr>
                <w:sz w:val="18"/>
                <w:szCs w:val="18"/>
              </w:rPr>
              <w:t>1</w:t>
            </w:r>
          </w:p>
        </w:tc>
        <w:tc>
          <w:tcPr>
            <w:tcW w:w="540" w:type="dxa"/>
            <w:tcBorders>
              <w:top w:val="single" w:sz="4" w:space="0" w:color="000000"/>
              <w:left w:val="nil"/>
              <w:bottom w:val="single" w:sz="4" w:space="0" w:color="000000"/>
              <w:right w:val="nil"/>
            </w:tcBorders>
            <w:shd w:val="clear" w:color="00529B" w:fill="DBE5F1" w:themeFill="accent1" w:themeFillTint="33"/>
            <w:tcMar>
              <w:top w:w="0" w:type="dxa"/>
              <w:left w:w="108" w:type="dxa"/>
              <w:bottom w:w="0" w:type="dxa"/>
              <w:right w:w="108" w:type="dxa"/>
            </w:tcMar>
            <w:vAlign w:val="center"/>
          </w:tcPr>
          <w:p w14:paraId="58233F2A" w14:textId="77777777" w:rsidR="0030062D" w:rsidRPr="00C02AD4" w:rsidRDefault="0030062D" w:rsidP="00C02AD4">
            <w:pPr>
              <w:pStyle w:val="WorksheetTable"/>
              <w:spacing w:after="0" w:line="240" w:lineRule="auto"/>
              <w:rPr>
                <w:sz w:val="18"/>
                <w:szCs w:val="18"/>
              </w:rPr>
            </w:pPr>
            <w:r w:rsidRPr="00C02AD4">
              <w:rPr>
                <w:sz w:val="18"/>
                <w:szCs w:val="18"/>
              </w:rPr>
              <w:t>2</w:t>
            </w:r>
          </w:p>
        </w:tc>
        <w:tc>
          <w:tcPr>
            <w:tcW w:w="630" w:type="dxa"/>
            <w:tcBorders>
              <w:top w:val="single" w:sz="4" w:space="0" w:color="000000"/>
              <w:left w:val="nil"/>
              <w:bottom w:val="single" w:sz="4" w:space="0" w:color="000000"/>
              <w:right w:val="nil"/>
            </w:tcBorders>
            <w:shd w:val="clear" w:color="00529B" w:fill="DBE5F1" w:themeFill="accent1" w:themeFillTint="33"/>
            <w:tcMar>
              <w:top w:w="0" w:type="dxa"/>
              <w:left w:w="108" w:type="dxa"/>
              <w:bottom w:w="0" w:type="dxa"/>
              <w:right w:w="108" w:type="dxa"/>
            </w:tcMar>
            <w:vAlign w:val="center"/>
          </w:tcPr>
          <w:p w14:paraId="5B3B10A3" w14:textId="77777777" w:rsidR="0030062D" w:rsidRPr="00C02AD4" w:rsidRDefault="0030062D" w:rsidP="00C02AD4">
            <w:pPr>
              <w:pStyle w:val="WorksheetTable"/>
              <w:spacing w:after="0" w:line="240" w:lineRule="auto"/>
              <w:rPr>
                <w:sz w:val="18"/>
                <w:szCs w:val="18"/>
              </w:rPr>
            </w:pPr>
            <w:r w:rsidRPr="00C02AD4">
              <w:rPr>
                <w:sz w:val="18"/>
                <w:szCs w:val="18"/>
              </w:rPr>
              <w:t>3</w:t>
            </w:r>
          </w:p>
        </w:tc>
      </w:tr>
      <w:tr w:rsidR="0030062D" w:rsidRPr="00C02AD4" w14:paraId="07C28FB2" w14:textId="77777777" w:rsidTr="00296E33">
        <w:trPr>
          <w:trHeight w:val="720"/>
        </w:trPr>
        <w:tc>
          <w:tcPr>
            <w:tcW w:w="412" w:type="dxa"/>
            <w:tcBorders>
              <w:top w:val="single" w:sz="4" w:space="0" w:color="000000"/>
              <w:left w:val="nil"/>
              <w:bottom w:val="single" w:sz="4" w:space="0" w:color="000000"/>
              <w:right w:val="nil"/>
            </w:tcBorders>
            <w:shd w:val="clear" w:color="00529B" w:fill="DBE5F1" w:themeFill="accent1" w:themeFillTint="33"/>
            <w:tcMar>
              <w:top w:w="0" w:type="dxa"/>
              <w:left w:w="108" w:type="dxa"/>
              <w:bottom w:w="0" w:type="dxa"/>
              <w:right w:w="108" w:type="dxa"/>
            </w:tcMar>
            <w:vAlign w:val="center"/>
          </w:tcPr>
          <w:p w14:paraId="2F2A850A" w14:textId="77777777" w:rsidR="0030062D" w:rsidRPr="00C02AD4" w:rsidRDefault="0030062D" w:rsidP="00C02AD4">
            <w:pPr>
              <w:pStyle w:val="WorksheetTable"/>
              <w:spacing w:after="0" w:line="240" w:lineRule="auto"/>
              <w:rPr>
                <w:sz w:val="18"/>
                <w:szCs w:val="18"/>
              </w:rPr>
            </w:pPr>
            <w:r w:rsidRPr="00C02AD4">
              <w:rPr>
                <w:sz w:val="18"/>
                <w:szCs w:val="18"/>
              </w:rPr>
              <w:t>6.</w:t>
            </w:r>
          </w:p>
        </w:tc>
        <w:tc>
          <w:tcPr>
            <w:tcW w:w="7238" w:type="dxa"/>
            <w:tcBorders>
              <w:top w:val="single" w:sz="4" w:space="0" w:color="000000"/>
              <w:left w:val="nil"/>
              <w:bottom w:val="single" w:sz="4" w:space="0" w:color="000000"/>
              <w:right w:val="nil"/>
            </w:tcBorders>
            <w:shd w:val="clear" w:color="00529B" w:fill="DBE5F1" w:themeFill="accent1" w:themeFillTint="33"/>
            <w:tcMar>
              <w:top w:w="0" w:type="dxa"/>
              <w:left w:w="108" w:type="dxa"/>
              <w:bottom w:w="0" w:type="dxa"/>
              <w:right w:w="108" w:type="dxa"/>
            </w:tcMar>
            <w:vAlign w:val="center"/>
          </w:tcPr>
          <w:p w14:paraId="0D3EA335" w14:textId="77777777" w:rsidR="0030062D" w:rsidRPr="00C02AD4" w:rsidRDefault="0030062D" w:rsidP="00C02AD4">
            <w:pPr>
              <w:pStyle w:val="WorksheetTable"/>
              <w:spacing w:after="0" w:line="240" w:lineRule="auto"/>
              <w:rPr>
                <w:sz w:val="18"/>
                <w:szCs w:val="18"/>
              </w:rPr>
            </w:pPr>
            <w:r w:rsidRPr="00C02AD4">
              <w:rPr>
                <w:sz w:val="18"/>
                <w:szCs w:val="18"/>
              </w:rPr>
              <w:t>Provide feedback in a timely fashion, and use that as an opportunity for ongoing dialogue.</w:t>
            </w:r>
          </w:p>
        </w:tc>
        <w:tc>
          <w:tcPr>
            <w:tcW w:w="540" w:type="dxa"/>
            <w:tcBorders>
              <w:top w:val="single" w:sz="4" w:space="0" w:color="000000"/>
              <w:left w:val="nil"/>
              <w:bottom w:val="single" w:sz="4" w:space="0" w:color="000000"/>
              <w:right w:val="nil"/>
            </w:tcBorders>
            <w:shd w:val="clear" w:color="00529B" w:fill="DBE5F1" w:themeFill="accent1" w:themeFillTint="33"/>
            <w:tcMar>
              <w:top w:w="0" w:type="dxa"/>
              <w:left w:w="108" w:type="dxa"/>
              <w:bottom w:w="0" w:type="dxa"/>
              <w:right w:w="108" w:type="dxa"/>
            </w:tcMar>
            <w:vAlign w:val="center"/>
          </w:tcPr>
          <w:p w14:paraId="3707E22D" w14:textId="77777777" w:rsidR="0030062D" w:rsidRPr="00C02AD4" w:rsidRDefault="0030062D" w:rsidP="00C02AD4">
            <w:pPr>
              <w:pStyle w:val="WorksheetTable"/>
              <w:spacing w:after="0" w:line="240" w:lineRule="auto"/>
              <w:rPr>
                <w:sz w:val="18"/>
                <w:szCs w:val="18"/>
              </w:rPr>
            </w:pPr>
            <w:r w:rsidRPr="00C02AD4">
              <w:rPr>
                <w:sz w:val="18"/>
                <w:szCs w:val="18"/>
              </w:rPr>
              <w:t>1</w:t>
            </w:r>
          </w:p>
        </w:tc>
        <w:tc>
          <w:tcPr>
            <w:tcW w:w="540" w:type="dxa"/>
            <w:tcBorders>
              <w:top w:val="single" w:sz="4" w:space="0" w:color="000000"/>
              <w:left w:val="nil"/>
              <w:bottom w:val="single" w:sz="4" w:space="0" w:color="000000"/>
              <w:right w:val="nil"/>
            </w:tcBorders>
            <w:shd w:val="clear" w:color="00529B" w:fill="DBE5F1" w:themeFill="accent1" w:themeFillTint="33"/>
            <w:tcMar>
              <w:top w:w="0" w:type="dxa"/>
              <w:left w:w="108" w:type="dxa"/>
              <w:bottom w:w="0" w:type="dxa"/>
              <w:right w:w="108" w:type="dxa"/>
            </w:tcMar>
            <w:vAlign w:val="center"/>
          </w:tcPr>
          <w:p w14:paraId="447C9B7C" w14:textId="77777777" w:rsidR="0030062D" w:rsidRPr="00C02AD4" w:rsidRDefault="0030062D" w:rsidP="00C02AD4">
            <w:pPr>
              <w:pStyle w:val="WorksheetTable"/>
              <w:spacing w:after="0" w:line="240" w:lineRule="auto"/>
              <w:rPr>
                <w:sz w:val="18"/>
                <w:szCs w:val="18"/>
              </w:rPr>
            </w:pPr>
            <w:r w:rsidRPr="00C02AD4">
              <w:rPr>
                <w:sz w:val="18"/>
                <w:szCs w:val="18"/>
              </w:rPr>
              <w:t>2</w:t>
            </w:r>
          </w:p>
        </w:tc>
        <w:tc>
          <w:tcPr>
            <w:tcW w:w="630" w:type="dxa"/>
            <w:tcBorders>
              <w:top w:val="single" w:sz="4" w:space="0" w:color="000000"/>
              <w:left w:val="nil"/>
              <w:bottom w:val="single" w:sz="4" w:space="0" w:color="000000"/>
              <w:right w:val="nil"/>
            </w:tcBorders>
            <w:shd w:val="clear" w:color="00529B" w:fill="DBE5F1" w:themeFill="accent1" w:themeFillTint="33"/>
            <w:tcMar>
              <w:top w:w="0" w:type="dxa"/>
              <w:left w:w="108" w:type="dxa"/>
              <w:bottom w:w="0" w:type="dxa"/>
              <w:right w:w="108" w:type="dxa"/>
            </w:tcMar>
            <w:vAlign w:val="center"/>
          </w:tcPr>
          <w:p w14:paraId="7B65B44B" w14:textId="77777777" w:rsidR="0030062D" w:rsidRPr="00C02AD4" w:rsidRDefault="0030062D" w:rsidP="00C02AD4">
            <w:pPr>
              <w:pStyle w:val="WorksheetTable"/>
              <w:spacing w:after="0" w:line="240" w:lineRule="auto"/>
              <w:rPr>
                <w:sz w:val="18"/>
                <w:szCs w:val="18"/>
              </w:rPr>
            </w:pPr>
            <w:r w:rsidRPr="00C02AD4">
              <w:rPr>
                <w:sz w:val="18"/>
                <w:szCs w:val="18"/>
              </w:rPr>
              <w:t>3</w:t>
            </w:r>
          </w:p>
        </w:tc>
      </w:tr>
      <w:tr w:rsidR="0030062D" w14:paraId="3B79EED2" w14:textId="77777777" w:rsidTr="00D719A1">
        <w:trPr>
          <w:trHeight w:val="674"/>
        </w:trPr>
        <w:tc>
          <w:tcPr>
            <w:tcW w:w="9360" w:type="dxa"/>
            <w:gridSpan w:val="5"/>
            <w:tcBorders>
              <w:top w:val="single" w:sz="4" w:space="0" w:color="000000"/>
              <w:left w:val="nil"/>
              <w:bottom w:val="single" w:sz="4" w:space="0" w:color="000000"/>
              <w:right w:val="nil"/>
            </w:tcBorders>
            <w:shd w:val="clear" w:color="00529B" w:fill="1F497D" w:themeFill="text2"/>
            <w:tcMar>
              <w:top w:w="0" w:type="dxa"/>
              <w:left w:w="108" w:type="dxa"/>
              <w:bottom w:w="0" w:type="dxa"/>
              <w:right w:w="108" w:type="dxa"/>
            </w:tcMar>
            <w:vAlign w:val="center"/>
          </w:tcPr>
          <w:p w14:paraId="4E0F4940" w14:textId="77777777" w:rsidR="0030062D" w:rsidRPr="00D719A1" w:rsidRDefault="0030062D" w:rsidP="00D719A1">
            <w:pPr>
              <w:pStyle w:val="WorksheetHeader"/>
              <w:spacing w:after="0"/>
              <w:jc w:val="center"/>
              <w:rPr>
                <w:color w:val="FFFFFF" w:themeColor="background1"/>
              </w:rPr>
            </w:pPr>
            <w:r w:rsidRPr="00D719A1">
              <w:rPr>
                <w:color w:val="FFFFFF" w:themeColor="background1"/>
              </w:rPr>
              <w:t>Classroom climate</w:t>
            </w:r>
          </w:p>
        </w:tc>
      </w:tr>
      <w:tr w:rsidR="0030062D" w:rsidRPr="00C02AD4" w14:paraId="1DCAB141" w14:textId="77777777" w:rsidTr="00296E33">
        <w:trPr>
          <w:trHeight w:val="720"/>
        </w:trPr>
        <w:tc>
          <w:tcPr>
            <w:tcW w:w="412" w:type="dxa"/>
            <w:tcBorders>
              <w:top w:val="single" w:sz="4" w:space="0" w:color="000000"/>
              <w:left w:val="nil"/>
              <w:bottom w:val="single" w:sz="4" w:space="0" w:color="000000"/>
              <w:right w:val="nil"/>
            </w:tcBorders>
            <w:shd w:val="clear" w:color="00529B" w:fill="DBE5F1" w:themeFill="accent1" w:themeFillTint="33"/>
            <w:tcMar>
              <w:top w:w="0" w:type="dxa"/>
              <w:left w:w="108" w:type="dxa"/>
              <w:bottom w:w="0" w:type="dxa"/>
              <w:right w:w="108" w:type="dxa"/>
            </w:tcMar>
            <w:vAlign w:val="center"/>
          </w:tcPr>
          <w:p w14:paraId="4FCBCE92" w14:textId="77777777" w:rsidR="0030062D" w:rsidRPr="00C02AD4" w:rsidRDefault="0030062D" w:rsidP="00C02AD4">
            <w:pPr>
              <w:pStyle w:val="WorksheetTable"/>
              <w:spacing w:after="0" w:line="240" w:lineRule="auto"/>
              <w:rPr>
                <w:sz w:val="18"/>
                <w:szCs w:val="18"/>
              </w:rPr>
            </w:pPr>
            <w:r w:rsidRPr="00C02AD4">
              <w:rPr>
                <w:sz w:val="18"/>
                <w:szCs w:val="18"/>
              </w:rPr>
              <w:t>1.</w:t>
            </w:r>
          </w:p>
        </w:tc>
        <w:tc>
          <w:tcPr>
            <w:tcW w:w="7238" w:type="dxa"/>
            <w:tcBorders>
              <w:top w:val="single" w:sz="4" w:space="0" w:color="000000"/>
              <w:left w:val="nil"/>
              <w:bottom w:val="single" w:sz="4" w:space="0" w:color="000000"/>
              <w:right w:val="nil"/>
            </w:tcBorders>
            <w:shd w:val="clear" w:color="00529B" w:fill="DBE5F1" w:themeFill="accent1" w:themeFillTint="33"/>
            <w:tcMar>
              <w:top w:w="0" w:type="dxa"/>
              <w:left w:w="108" w:type="dxa"/>
              <w:bottom w:w="0" w:type="dxa"/>
              <w:right w:w="108" w:type="dxa"/>
            </w:tcMar>
            <w:vAlign w:val="center"/>
          </w:tcPr>
          <w:p w14:paraId="58C0A089" w14:textId="77777777" w:rsidR="0030062D" w:rsidRPr="00C02AD4" w:rsidRDefault="0030062D" w:rsidP="00C02AD4">
            <w:pPr>
              <w:pStyle w:val="WorksheetTable"/>
              <w:spacing w:after="0" w:line="240" w:lineRule="auto"/>
              <w:rPr>
                <w:sz w:val="18"/>
                <w:szCs w:val="18"/>
              </w:rPr>
            </w:pPr>
            <w:r w:rsidRPr="00C02AD4">
              <w:rPr>
                <w:sz w:val="18"/>
                <w:szCs w:val="18"/>
              </w:rPr>
              <w:t>Consider how you demonstrate warmth, organization, and respect for students as part of developing a positive classroom climate. This can start with the syllabus and extend to face-to-face and online interactions with students.</w:t>
            </w:r>
          </w:p>
        </w:tc>
        <w:tc>
          <w:tcPr>
            <w:tcW w:w="540" w:type="dxa"/>
            <w:tcBorders>
              <w:top w:val="single" w:sz="4" w:space="0" w:color="000000"/>
              <w:left w:val="nil"/>
              <w:bottom w:val="single" w:sz="4" w:space="0" w:color="000000"/>
              <w:right w:val="nil"/>
            </w:tcBorders>
            <w:shd w:val="clear" w:color="00529B" w:fill="DBE5F1" w:themeFill="accent1" w:themeFillTint="33"/>
            <w:tcMar>
              <w:top w:w="0" w:type="dxa"/>
              <w:left w:w="108" w:type="dxa"/>
              <w:bottom w:w="0" w:type="dxa"/>
              <w:right w:w="108" w:type="dxa"/>
            </w:tcMar>
            <w:vAlign w:val="center"/>
          </w:tcPr>
          <w:p w14:paraId="70DB9E61" w14:textId="77777777" w:rsidR="0030062D" w:rsidRPr="00C02AD4" w:rsidRDefault="0030062D" w:rsidP="00C02AD4">
            <w:pPr>
              <w:pStyle w:val="WorksheetTable"/>
              <w:spacing w:after="0" w:line="240" w:lineRule="auto"/>
              <w:rPr>
                <w:sz w:val="18"/>
                <w:szCs w:val="18"/>
              </w:rPr>
            </w:pPr>
            <w:r w:rsidRPr="00C02AD4">
              <w:rPr>
                <w:sz w:val="18"/>
                <w:szCs w:val="18"/>
              </w:rPr>
              <w:t>1</w:t>
            </w:r>
          </w:p>
        </w:tc>
        <w:tc>
          <w:tcPr>
            <w:tcW w:w="540" w:type="dxa"/>
            <w:tcBorders>
              <w:top w:val="single" w:sz="4" w:space="0" w:color="000000"/>
              <w:left w:val="nil"/>
              <w:bottom w:val="single" w:sz="4" w:space="0" w:color="000000"/>
              <w:right w:val="nil"/>
            </w:tcBorders>
            <w:shd w:val="clear" w:color="00529B" w:fill="DBE5F1" w:themeFill="accent1" w:themeFillTint="33"/>
            <w:tcMar>
              <w:top w:w="0" w:type="dxa"/>
              <w:left w:w="108" w:type="dxa"/>
              <w:bottom w:w="0" w:type="dxa"/>
              <w:right w:w="108" w:type="dxa"/>
            </w:tcMar>
            <w:vAlign w:val="center"/>
          </w:tcPr>
          <w:p w14:paraId="3457DDAF" w14:textId="77777777" w:rsidR="0030062D" w:rsidRPr="00C02AD4" w:rsidRDefault="0030062D" w:rsidP="00C02AD4">
            <w:pPr>
              <w:pStyle w:val="WorksheetTable"/>
              <w:spacing w:after="0" w:line="240" w:lineRule="auto"/>
              <w:rPr>
                <w:sz w:val="18"/>
                <w:szCs w:val="18"/>
              </w:rPr>
            </w:pPr>
            <w:r w:rsidRPr="00C02AD4">
              <w:rPr>
                <w:sz w:val="18"/>
                <w:szCs w:val="18"/>
              </w:rPr>
              <w:t>2</w:t>
            </w:r>
          </w:p>
        </w:tc>
        <w:tc>
          <w:tcPr>
            <w:tcW w:w="630" w:type="dxa"/>
            <w:tcBorders>
              <w:top w:val="single" w:sz="4" w:space="0" w:color="000000"/>
              <w:left w:val="nil"/>
              <w:bottom w:val="single" w:sz="4" w:space="0" w:color="000000"/>
              <w:right w:val="nil"/>
            </w:tcBorders>
            <w:shd w:val="clear" w:color="00529B" w:fill="DBE5F1" w:themeFill="accent1" w:themeFillTint="33"/>
            <w:tcMar>
              <w:top w:w="0" w:type="dxa"/>
              <w:left w:w="108" w:type="dxa"/>
              <w:bottom w:w="0" w:type="dxa"/>
              <w:right w:w="108" w:type="dxa"/>
            </w:tcMar>
            <w:vAlign w:val="center"/>
          </w:tcPr>
          <w:p w14:paraId="29E05286" w14:textId="77777777" w:rsidR="0030062D" w:rsidRPr="00C02AD4" w:rsidRDefault="0030062D" w:rsidP="00C02AD4">
            <w:pPr>
              <w:pStyle w:val="WorksheetTable"/>
              <w:spacing w:after="0" w:line="240" w:lineRule="auto"/>
              <w:rPr>
                <w:sz w:val="18"/>
                <w:szCs w:val="18"/>
              </w:rPr>
            </w:pPr>
            <w:r w:rsidRPr="00C02AD4">
              <w:rPr>
                <w:sz w:val="18"/>
                <w:szCs w:val="18"/>
              </w:rPr>
              <w:t>3</w:t>
            </w:r>
          </w:p>
        </w:tc>
      </w:tr>
      <w:tr w:rsidR="0030062D" w:rsidRPr="00C02AD4" w14:paraId="00C74E41" w14:textId="77777777" w:rsidTr="00296E33">
        <w:trPr>
          <w:trHeight w:val="720"/>
        </w:trPr>
        <w:tc>
          <w:tcPr>
            <w:tcW w:w="412" w:type="dxa"/>
            <w:tcBorders>
              <w:top w:val="single" w:sz="4" w:space="0" w:color="000000"/>
              <w:left w:val="nil"/>
              <w:bottom w:val="single" w:sz="4" w:space="0" w:color="000000"/>
              <w:right w:val="nil"/>
            </w:tcBorders>
            <w:shd w:val="clear" w:color="00529B" w:fill="DBE5F1" w:themeFill="accent1" w:themeFillTint="33"/>
            <w:tcMar>
              <w:top w:w="0" w:type="dxa"/>
              <w:left w:w="108" w:type="dxa"/>
              <w:bottom w:w="0" w:type="dxa"/>
              <w:right w:w="108" w:type="dxa"/>
            </w:tcMar>
            <w:vAlign w:val="center"/>
          </w:tcPr>
          <w:p w14:paraId="03FEC489" w14:textId="77777777" w:rsidR="0030062D" w:rsidRPr="00C02AD4" w:rsidRDefault="0030062D" w:rsidP="00C02AD4">
            <w:pPr>
              <w:pStyle w:val="WorksheetTable"/>
              <w:spacing w:after="0" w:line="240" w:lineRule="auto"/>
              <w:rPr>
                <w:sz w:val="18"/>
                <w:szCs w:val="18"/>
              </w:rPr>
            </w:pPr>
            <w:r w:rsidRPr="00C02AD4">
              <w:rPr>
                <w:sz w:val="18"/>
                <w:szCs w:val="18"/>
              </w:rPr>
              <w:t>2.</w:t>
            </w:r>
          </w:p>
        </w:tc>
        <w:tc>
          <w:tcPr>
            <w:tcW w:w="7238" w:type="dxa"/>
            <w:tcBorders>
              <w:top w:val="single" w:sz="4" w:space="0" w:color="000000"/>
              <w:left w:val="nil"/>
              <w:bottom w:val="single" w:sz="4" w:space="0" w:color="000000"/>
              <w:right w:val="nil"/>
            </w:tcBorders>
            <w:shd w:val="clear" w:color="00529B" w:fill="DBE5F1" w:themeFill="accent1" w:themeFillTint="33"/>
            <w:tcMar>
              <w:top w:w="0" w:type="dxa"/>
              <w:left w:w="108" w:type="dxa"/>
              <w:bottom w:w="0" w:type="dxa"/>
              <w:right w:w="108" w:type="dxa"/>
            </w:tcMar>
            <w:vAlign w:val="center"/>
          </w:tcPr>
          <w:p w14:paraId="5FC67EE7" w14:textId="77777777" w:rsidR="0030062D" w:rsidRPr="00C02AD4" w:rsidRDefault="0030062D" w:rsidP="00C02AD4">
            <w:pPr>
              <w:pStyle w:val="WorksheetTable"/>
              <w:spacing w:after="0" w:line="240" w:lineRule="auto"/>
              <w:rPr>
                <w:sz w:val="18"/>
                <w:szCs w:val="18"/>
              </w:rPr>
            </w:pPr>
            <w:r w:rsidRPr="00C02AD4">
              <w:rPr>
                <w:sz w:val="18"/>
                <w:szCs w:val="18"/>
              </w:rPr>
              <w:t>Encourage respectful and supportive peer interactions, providing students opportunities to collaborate in building understanding, identify shared interests in course content, and develop a supportive classroom network.</w:t>
            </w:r>
          </w:p>
        </w:tc>
        <w:tc>
          <w:tcPr>
            <w:tcW w:w="540" w:type="dxa"/>
            <w:tcBorders>
              <w:top w:val="single" w:sz="4" w:space="0" w:color="000000"/>
              <w:left w:val="nil"/>
              <w:bottom w:val="single" w:sz="4" w:space="0" w:color="000000"/>
              <w:right w:val="nil"/>
            </w:tcBorders>
            <w:shd w:val="clear" w:color="00529B" w:fill="DBE5F1" w:themeFill="accent1" w:themeFillTint="33"/>
            <w:tcMar>
              <w:top w:w="0" w:type="dxa"/>
              <w:left w:w="108" w:type="dxa"/>
              <w:bottom w:w="0" w:type="dxa"/>
              <w:right w:w="108" w:type="dxa"/>
            </w:tcMar>
            <w:vAlign w:val="center"/>
          </w:tcPr>
          <w:p w14:paraId="5CFF5A87" w14:textId="77777777" w:rsidR="0030062D" w:rsidRPr="00C02AD4" w:rsidRDefault="0030062D" w:rsidP="00C02AD4">
            <w:pPr>
              <w:pStyle w:val="WorksheetTable"/>
              <w:spacing w:after="0" w:line="240" w:lineRule="auto"/>
              <w:rPr>
                <w:sz w:val="18"/>
                <w:szCs w:val="18"/>
              </w:rPr>
            </w:pPr>
            <w:r w:rsidRPr="00C02AD4">
              <w:rPr>
                <w:sz w:val="18"/>
                <w:szCs w:val="18"/>
              </w:rPr>
              <w:t>1</w:t>
            </w:r>
          </w:p>
        </w:tc>
        <w:tc>
          <w:tcPr>
            <w:tcW w:w="540" w:type="dxa"/>
            <w:tcBorders>
              <w:top w:val="single" w:sz="4" w:space="0" w:color="000000"/>
              <w:left w:val="nil"/>
              <w:bottom w:val="single" w:sz="4" w:space="0" w:color="000000"/>
              <w:right w:val="nil"/>
            </w:tcBorders>
            <w:shd w:val="clear" w:color="00529B" w:fill="DBE5F1" w:themeFill="accent1" w:themeFillTint="33"/>
            <w:tcMar>
              <w:top w:w="0" w:type="dxa"/>
              <w:left w:w="108" w:type="dxa"/>
              <w:bottom w:w="0" w:type="dxa"/>
              <w:right w:w="108" w:type="dxa"/>
            </w:tcMar>
            <w:vAlign w:val="center"/>
          </w:tcPr>
          <w:p w14:paraId="4B40DB7D" w14:textId="77777777" w:rsidR="0030062D" w:rsidRPr="00C02AD4" w:rsidRDefault="0030062D" w:rsidP="00C02AD4">
            <w:pPr>
              <w:pStyle w:val="WorksheetTable"/>
              <w:spacing w:after="0" w:line="240" w:lineRule="auto"/>
              <w:rPr>
                <w:sz w:val="18"/>
                <w:szCs w:val="18"/>
              </w:rPr>
            </w:pPr>
            <w:r w:rsidRPr="00C02AD4">
              <w:rPr>
                <w:sz w:val="18"/>
                <w:szCs w:val="18"/>
              </w:rPr>
              <w:t>2</w:t>
            </w:r>
          </w:p>
        </w:tc>
        <w:tc>
          <w:tcPr>
            <w:tcW w:w="630" w:type="dxa"/>
            <w:tcBorders>
              <w:top w:val="single" w:sz="4" w:space="0" w:color="000000"/>
              <w:left w:val="nil"/>
              <w:bottom w:val="single" w:sz="4" w:space="0" w:color="000000"/>
              <w:right w:val="nil"/>
            </w:tcBorders>
            <w:shd w:val="clear" w:color="00529B" w:fill="DBE5F1" w:themeFill="accent1" w:themeFillTint="33"/>
            <w:tcMar>
              <w:top w:w="0" w:type="dxa"/>
              <w:left w:w="108" w:type="dxa"/>
              <w:bottom w:w="0" w:type="dxa"/>
              <w:right w:w="108" w:type="dxa"/>
            </w:tcMar>
            <w:vAlign w:val="center"/>
          </w:tcPr>
          <w:p w14:paraId="12311A36" w14:textId="77777777" w:rsidR="0030062D" w:rsidRPr="00C02AD4" w:rsidRDefault="0030062D" w:rsidP="00C02AD4">
            <w:pPr>
              <w:pStyle w:val="WorksheetTable"/>
              <w:spacing w:after="0" w:line="240" w:lineRule="auto"/>
              <w:rPr>
                <w:sz w:val="18"/>
                <w:szCs w:val="18"/>
              </w:rPr>
            </w:pPr>
            <w:r w:rsidRPr="00C02AD4">
              <w:rPr>
                <w:sz w:val="18"/>
                <w:szCs w:val="18"/>
              </w:rPr>
              <w:t>3</w:t>
            </w:r>
          </w:p>
        </w:tc>
      </w:tr>
      <w:tr w:rsidR="00AF191F" w:rsidRPr="0030062D" w14:paraId="7F90C1EE" w14:textId="77777777" w:rsidTr="00AF191F">
        <w:trPr>
          <w:trHeight w:val="539"/>
        </w:trPr>
        <w:tc>
          <w:tcPr>
            <w:tcW w:w="9360" w:type="dxa"/>
            <w:gridSpan w:val="5"/>
            <w:tcBorders>
              <w:top w:val="single" w:sz="4" w:space="0" w:color="000000"/>
              <w:left w:val="nil"/>
              <w:bottom w:val="single" w:sz="4" w:space="0" w:color="000000"/>
              <w:right w:val="nil"/>
            </w:tcBorders>
            <w:shd w:val="clear" w:color="00529B" w:fill="1F497D" w:themeFill="text2"/>
            <w:tcMar>
              <w:top w:w="90" w:type="dxa"/>
              <w:left w:w="108" w:type="dxa"/>
              <w:bottom w:w="90" w:type="dxa"/>
              <w:right w:w="108" w:type="dxa"/>
            </w:tcMar>
            <w:vAlign w:val="center"/>
          </w:tcPr>
          <w:p w14:paraId="1E320259" w14:textId="77777777" w:rsidR="00AF191F" w:rsidRPr="00D719A1" w:rsidRDefault="00AF191F" w:rsidP="00AF191F">
            <w:pPr>
              <w:pStyle w:val="WorksheetHeader"/>
              <w:spacing w:after="0"/>
              <w:jc w:val="center"/>
              <w:rPr>
                <w:color w:val="FFFFFF" w:themeColor="background1"/>
              </w:rPr>
            </w:pPr>
            <w:r w:rsidRPr="00D719A1">
              <w:rPr>
                <w:color w:val="FFFFFF" w:themeColor="background1"/>
              </w:rPr>
              <w:t>Pedagogical choices</w:t>
            </w:r>
          </w:p>
        </w:tc>
      </w:tr>
      <w:tr w:rsidR="00AF191F" w:rsidRPr="00C02AD4" w14:paraId="737FBB2B" w14:textId="77777777" w:rsidTr="00AF191F">
        <w:trPr>
          <w:trHeight w:val="576"/>
        </w:trPr>
        <w:tc>
          <w:tcPr>
            <w:tcW w:w="412" w:type="dxa"/>
            <w:tcBorders>
              <w:top w:val="single" w:sz="4" w:space="0" w:color="000000"/>
              <w:left w:val="nil"/>
              <w:bottom w:val="single" w:sz="4" w:space="0" w:color="000000"/>
              <w:right w:val="nil"/>
            </w:tcBorders>
            <w:shd w:val="clear" w:color="00529B" w:fill="DBE5F1" w:themeFill="accent1" w:themeFillTint="33"/>
            <w:tcMar>
              <w:top w:w="90" w:type="dxa"/>
              <w:left w:w="108" w:type="dxa"/>
              <w:bottom w:w="90" w:type="dxa"/>
              <w:right w:w="108" w:type="dxa"/>
            </w:tcMar>
            <w:vAlign w:val="center"/>
          </w:tcPr>
          <w:p w14:paraId="6F6CD11A" w14:textId="77777777" w:rsidR="00AF191F" w:rsidRPr="00C02AD4" w:rsidRDefault="00AF191F" w:rsidP="00AF191F">
            <w:pPr>
              <w:pStyle w:val="WorksheetTable"/>
              <w:spacing w:after="0" w:line="240" w:lineRule="auto"/>
              <w:rPr>
                <w:sz w:val="18"/>
                <w:szCs w:val="18"/>
              </w:rPr>
            </w:pPr>
            <w:r w:rsidRPr="00C02AD4">
              <w:rPr>
                <w:sz w:val="18"/>
                <w:szCs w:val="18"/>
              </w:rPr>
              <w:t>1.</w:t>
            </w:r>
          </w:p>
        </w:tc>
        <w:tc>
          <w:tcPr>
            <w:tcW w:w="7238" w:type="dxa"/>
            <w:tcBorders>
              <w:top w:val="single" w:sz="4" w:space="0" w:color="000000"/>
              <w:left w:val="nil"/>
              <w:bottom w:val="single" w:sz="4" w:space="0" w:color="000000"/>
              <w:right w:val="nil"/>
            </w:tcBorders>
            <w:shd w:val="clear" w:color="00529B" w:fill="DBE5F1" w:themeFill="accent1" w:themeFillTint="33"/>
            <w:tcMar>
              <w:top w:w="90" w:type="dxa"/>
              <w:left w:w="108" w:type="dxa"/>
              <w:bottom w:w="90" w:type="dxa"/>
              <w:right w:w="108" w:type="dxa"/>
            </w:tcMar>
            <w:vAlign w:val="center"/>
          </w:tcPr>
          <w:p w14:paraId="3C9EC636" w14:textId="77777777" w:rsidR="00AF191F" w:rsidRPr="00C02AD4" w:rsidRDefault="00AF191F" w:rsidP="00AF191F">
            <w:pPr>
              <w:pStyle w:val="WorksheetTable"/>
              <w:spacing w:after="0" w:line="240" w:lineRule="auto"/>
              <w:rPr>
                <w:sz w:val="18"/>
                <w:szCs w:val="18"/>
              </w:rPr>
            </w:pPr>
            <w:r w:rsidRPr="00C02AD4">
              <w:rPr>
                <w:sz w:val="18"/>
                <w:szCs w:val="18"/>
              </w:rPr>
              <w:t xml:space="preserve">Signal an identity-safe environment with inclusive language or by highlighting successes of individuals from stereotyped groups. This can lessen stereotype threat and improve student performance and participation. </w:t>
            </w:r>
          </w:p>
        </w:tc>
        <w:tc>
          <w:tcPr>
            <w:tcW w:w="540" w:type="dxa"/>
            <w:tcBorders>
              <w:top w:val="single" w:sz="4" w:space="0" w:color="000000"/>
              <w:left w:val="nil"/>
              <w:bottom w:val="single" w:sz="4" w:space="0" w:color="000000"/>
              <w:right w:val="nil"/>
            </w:tcBorders>
            <w:shd w:val="clear" w:color="00529B" w:fill="DBE5F1" w:themeFill="accent1" w:themeFillTint="33"/>
            <w:tcMar>
              <w:top w:w="90" w:type="dxa"/>
              <w:left w:w="108" w:type="dxa"/>
              <w:bottom w:w="90" w:type="dxa"/>
              <w:right w:w="108" w:type="dxa"/>
            </w:tcMar>
            <w:vAlign w:val="center"/>
          </w:tcPr>
          <w:p w14:paraId="3226D185" w14:textId="77777777" w:rsidR="00AF191F" w:rsidRPr="00C02AD4" w:rsidRDefault="00AF191F" w:rsidP="00AF191F">
            <w:pPr>
              <w:pStyle w:val="WorksheetTable"/>
              <w:spacing w:after="0" w:line="240" w:lineRule="auto"/>
              <w:rPr>
                <w:sz w:val="18"/>
                <w:szCs w:val="18"/>
              </w:rPr>
            </w:pPr>
            <w:r w:rsidRPr="00C02AD4">
              <w:rPr>
                <w:sz w:val="18"/>
                <w:szCs w:val="18"/>
              </w:rPr>
              <w:t>1</w:t>
            </w:r>
          </w:p>
        </w:tc>
        <w:tc>
          <w:tcPr>
            <w:tcW w:w="540" w:type="dxa"/>
            <w:tcBorders>
              <w:top w:val="single" w:sz="4" w:space="0" w:color="000000"/>
              <w:left w:val="nil"/>
              <w:bottom w:val="single" w:sz="4" w:space="0" w:color="000000"/>
              <w:right w:val="nil"/>
            </w:tcBorders>
            <w:shd w:val="clear" w:color="00529B" w:fill="DBE5F1" w:themeFill="accent1" w:themeFillTint="33"/>
            <w:tcMar>
              <w:top w:w="90" w:type="dxa"/>
              <w:left w:w="108" w:type="dxa"/>
              <w:bottom w:w="90" w:type="dxa"/>
              <w:right w:w="108" w:type="dxa"/>
            </w:tcMar>
            <w:vAlign w:val="center"/>
          </w:tcPr>
          <w:p w14:paraId="1640B53C" w14:textId="77777777" w:rsidR="00AF191F" w:rsidRPr="00C02AD4" w:rsidRDefault="00AF191F" w:rsidP="00AF191F">
            <w:pPr>
              <w:pStyle w:val="WorksheetTable"/>
              <w:spacing w:after="0" w:line="240" w:lineRule="auto"/>
              <w:rPr>
                <w:sz w:val="18"/>
                <w:szCs w:val="18"/>
              </w:rPr>
            </w:pPr>
            <w:r w:rsidRPr="00C02AD4">
              <w:rPr>
                <w:sz w:val="18"/>
                <w:szCs w:val="18"/>
              </w:rPr>
              <w:t>2</w:t>
            </w:r>
          </w:p>
        </w:tc>
        <w:tc>
          <w:tcPr>
            <w:tcW w:w="630" w:type="dxa"/>
            <w:tcBorders>
              <w:top w:val="single" w:sz="4" w:space="0" w:color="000000"/>
              <w:left w:val="nil"/>
              <w:bottom w:val="single" w:sz="4" w:space="0" w:color="000000"/>
              <w:right w:val="nil"/>
            </w:tcBorders>
            <w:shd w:val="clear" w:color="00529B" w:fill="DBE5F1" w:themeFill="accent1" w:themeFillTint="33"/>
            <w:tcMar>
              <w:top w:w="90" w:type="dxa"/>
              <w:left w:w="108" w:type="dxa"/>
              <w:bottom w:w="90" w:type="dxa"/>
              <w:right w:w="108" w:type="dxa"/>
            </w:tcMar>
            <w:vAlign w:val="center"/>
          </w:tcPr>
          <w:p w14:paraId="4B757113" w14:textId="77777777" w:rsidR="00AF191F" w:rsidRPr="00C02AD4" w:rsidRDefault="00AF191F" w:rsidP="00AF191F">
            <w:pPr>
              <w:pStyle w:val="WorksheetTable"/>
              <w:spacing w:after="0" w:line="240" w:lineRule="auto"/>
              <w:rPr>
                <w:sz w:val="18"/>
                <w:szCs w:val="18"/>
              </w:rPr>
            </w:pPr>
            <w:r w:rsidRPr="00C02AD4">
              <w:rPr>
                <w:sz w:val="18"/>
                <w:szCs w:val="18"/>
              </w:rPr>
              <w:t>3</w:t>
            </w:r>
          </w:p>
        </w:tc>
      </w:tr>
      <w:tr w:rsidR="00AF191F" w:rsidRPr="00C02AD4" w14:paraId="777C2FBF" w14:textId="77777777" w:rsidTr="00AF191F">
        <w:trPr>
          <w:trHeight w:val="576"/>
        </w:trPr>
        <w:tc>
          <w:tcPr>
            <w:tcW w:w="412" w:type="dxa"/>
            <w:tcBorders>
              <w:top w:val="single" w:sz="4" w:space="0" w:color="000000"/>
              <w:left w:val="nil"/>
              <w:bottom w:val="single" w:sz="4" w:space="0" w:color="000000"/>
              <w:right w:val="nil"/>
            </w:tcBorders>
            <w:shd w:val="clear" w:color="00529B" w:fill="DBE5F1" w:themeFill="accent1" w:themeFillTint="33"/>
            <w:tcMar>
              <w:top w:w="90" w:type="dxa"/>
              <w:left w:w="108" w:type="dxa"/>
              <w:bottom w:w="90" w:type="dxa"/>
              <w:right w:w="108" w:type="dxa"/>
            </w:tcMar>
            <w:vAlign w:val="center"/>
          </w:tcPr>
          <w:p w14:paraId="063C5597" w14:textId="77777777" w:rsidR="00AF191F" w:rsidRPr="00C02AD4" w:rsidRDefault="00AF191F" w:rsidP="00AF191F">
            <w:pPr>
              <w:pStyle w:val="WorksheetTable"/>
              <w:spacing w:after="0" w:line="240" w:lineRule="auto"/>
              <w:rPr>
                <w:sz w:val="18"/>
                <w:szCs w:val="18"/>
              </w:rPr>
            </w:pPr>
            <w:r w:rsidRPr="00C02AD4">
              <w:rPr>
                <w:sz w:val="18"/>
                <w:szCs w:val="18"/>
              </w:rPr>
              <w:lastRenderedPageBreak/>
              <w:t>2.</w:t>
            </w:r>
          </w:p>
        </w:tc>
        <w:tc>
          <w:tcPr>
            <w:tcW w:w="7238" w:type="dxa"/>
            <w:tcBorders>
              <w:top w:val="single" w:sz="4" w:space="0" w:color="000000"/>
              <w:left w:val="nil"/>
              <w:bottom w:val="single" w:sz="4" w:space="0" w:color="000000"/>
              <w:right w:val="nil"/>
            </w:tcBorders>
            <w:shd w:val="clear" w:color="00529B" w:fill="DBE5F1" w:themeFill="accent1" w:themeFillTint="33"/>
            <w:tcMar>
              <w:top w:w="90" w:type="dxa"/>
              <w:left w:w="108" w:type="dxa"/>
              <w:bottom w:w="90" w:type="dxa"/>
              <w:right w:w="108" w:type="dxa"/>
            </w:tcMar>
            <w:vAlign w:val="center"/>
          </w:tcPr>
          <w:p w14:paraId="53AC23CC" w14:textId="77777777" w:rsidR="00AF191F" w:rsidRPr="00C02AD4" w:rsidRDefault="00AF191F" w:rsidP="00AF191F">
            <w:pPr>
              <w:pStyle w:val="WorksheetTable"/>
              <w:spacing w:after="0" w:line="240" w:lineRule="auto"/>
              <w:rPr>
                <w:sz w:val="18"/>
                <w:szCs w:val="18"/>
              </w:rPr>
            </w:pPr>
            <w:r w:rsidRPr="00C02AD4">
              <w:rPr>
                <w:sz w:val="18"/>
                <w:szCs w:val="18"/>
              </w:rPr>
              <w:t xml:space="preserve">Know and use student names. Name tents are one way to facilitate this practice in high-enrollment courses. </w:t>
            </w:r>
          </w:p>
        </w:tc>
        <w:tc>
          <w:tcPr>
            <w:tcW w:w="540" w:type="dxa"/>
            <w:tcBorders>
              <w:top w:val="single" w:sz="4" w:space="0" w:color="000000"/>
              <w:left w:val="nil"/>
              <w:bottom w:val="single" w:sz="4" w:space="0" w:color="000000"/>
              <w:right w:val="nil"/>
            </w:tcBorders>
            <w:shd w:val="clear" w:color="00529B" w:fill="DBE5F1" w:themeFill="accent1" w:themeFillTint="33"/>
            <w:tcMar>
              <w:top w:w="90" w:type="dxa"/>
              <w:left w:w="108" w:type="dxa"/>
              <w:bottom w:w="90" w:type="dxa"/>
              <w:right w:w="108" w:type="dxa"/>
            </w:tcMar>
            <w:vAlign w:val="center"/>
          </w:tcPr>
          <w:p w14:paraId="0DE62DD1" w14:textId="77777777" w:rsidR="00AF191F" w:rsidRPr="00C02AD4" w:rsidRDefault="00AF191F" w:rsidP="00AF191F">
            <w:pPr>
              <w:pStyle w:val="WorksheetTable"/>
              <w:spacing w:after="0" w:line="240" w:lineRule="auto"/>
              <w:rPr>
                <w:sz w:val="18"/>
                <w:szCs w:val="18"/>
              </w:rPr>
            </w:pPr>
            <w:r w:rsidRPr="00C02AD4">
              <w:rPr>
                <w:sz w:val="18"/>
                <w:szCs w:val="18"/>
              </w:rPr>
              <w:t>1</w:t>
            </w:r>
          </w:p>
        </w:tc>
        <w:tc>
          <w:tcPr>
            <w:tcW w:w="540" w:type="dxa"/>
            <w:tcBorders>
              <w:top w:val="single" w:sz="4" w:space="0" w:color="000000"/>
              <w:left w:val="nil"/>
              <w:bottom w:val="single" w:sz="4" w:space="0" w:color="000000"/>
              <w:right w:val="nil"/>
            </w:tcBorders>
            <w:shd w:val="clear" w:color="00529B" w:fill="DBE5F1" w:themeFill="accent1" w:themeFillTint="33"/>
            <w:tcMar>
              <w:top w:w="90" w:type="dxa"/>
              <w:left w:w="108" w:type="dxa"/>
              <w:bottom w:w="90" w:type="dxa"/>
              <w:right w:w="108" w:type="dxa"/>
            </w:tcMar>
            <w:vAlign w:val="center"/>
          </w:tcPr>
          <w:p w14:paraId="52786332" w14:textId="77777777" w:rsidR="00AF191F" w:rsidRPr="00C02AD4" w:rsidRDefault="00AF191F" w:rsidP="00AF191F">
            <w:pPr>
              <w:pStyle w:val="WorksheetTable"/>
              <w:spacing w:after="0" w:line="240" w:lineRule="auto"/>
              <w:rPr>
                <w:sz w:val="18"/>
                <w:szCs w:val="18"/>
              </w:rPr>
            </w:pPr>
            <w:r w:rsidRPr="00C02AD4">
              <w:rPr>
                <w:sz w:val="18"/>
                <w:szCs w:val="18"/>
              </w:rPr>
              <w:t>2</w:t>
            </w:r>
          </w:p>
        </w:tc>
        <w:tc>
          <w:tcPr>
            <w:tcW w:w="630" w:type="dxa"/>
            <w:tcBorders>
              <w:top w:val="single" w:sz="4" w:space="0" w:color="000000"/>
              <w:left w:val="nil"/>
              <w:bottom w:val="single" w:sz="4" w:space="0" w:color="000000"/>
              <w:right w:val="nil"/>
            </w:tcBorders>
            <w:shd w:val="clear" w:color="00529B" w:fill="DBE5F1" w:themeFill="accent1" w:themeFillTint="33"/>
            <w:tcMar>
              <w:top w:w="90" w:type="dxa"/>
              <w:left w:w="108" w:type="dxa"/>
              <w:bottom w:w="90" w:type="dxa"/>
              <w:right w:w="108" w:type="dxa"/>
            </w:tcMar>
            <w:vAlign w:val="center"/>
          </w:tcPr>
          <w:p w14:paraId="6F825ECF" w14:textId="77777777" w:rsidR="00AF191F" w:rsidRPr="00C02AD4" w:rsidRDefault="00AF191F" w:rsidP="00AF191F">
            <w:pPr>
              <w:pStyle w:val="WorksheetTable"/>
              <w:spacing w:after="0" w:line="240" w:lineRule="auto"/>
              <w:rPr>
                <w:sz w:val="18"/>
                <w:szCs w:val="18"/>
              </w:rPr>
            </w:pPr>
            <w:r w:rsidRPr="00C02AD4">
              <w:rPr>
                <w:sz w:val="18"/>
                <w:szCs w:val="18"/>
              </w:rPr>
              <w:t>3</w:t>
            </w:r>
          </w:p>
        </w:tc>
      </w:tr>
      <w:tr w:rsidR="00AF191F" w:rsidRPr="00C02AD4" w14:paraId="0FC0E8BE" w14:textId="77777777" w:rsidTr="00AF191F">
        <w:trPr>
          <w:trHeight w:val="576"/>
        </w:trPr>
        <w:tc>
          <w:tcPr>
            <w:tcW w:w="412" w:type="dxa"/>
            <w:tcBorders>
              <w:top w:val="single" w:sz="4" w:space="0" w:color="000000"/>
              <w:left w:val="nil"/>
              <w:bottom w:val="single" w:sz="4" w:space="0" w:color="000000"/>
              <w:right w:val="nil"/>
            </w:tcBorders>
            <w:shd w:val="clear" w:color="00529B" w:fill="DBE5F1" w:themeFill="accent1" w:themeFillTint="33"/>
            <w:tcMar>
              <w:top w:w="90" w:type="dxa"/>
              <w:left w:w="108" w:type="dxa"/>
              <w:bottom w:w="90" w:type="dxa"/>
              <w:right w:w="108" w:type="dxa"/>
            </w:tcMar>
            <w:vAlign w:val="center"/>
          </w:tcPr>
          <w:p w14:paraId="724098A9" w14:textId="77777777" w:rsidR="00AF191F" w:rsidRPr="00C02AD4" w:rsidRDefault="00AF191F" w:rsidP="00AF191F">
            <w:pPr>
              <w:pStyle w:val="WorksheetTable"/>
              <w:spacing w:after="0" w:line="240" w:lineRule="auto"/>
              <w:rPr>
                <w:sz w:val="18"/>
                <w:szCs w:val="18"/>
              </w:rPr>
            </w:pPr>
            <w:r w:rsidRPr="00C02AD4">
              <w:rPr>
                <w:sz w:val="18"/>
                <w:szCs w:val="18"/>
              </w:rPr>
              <w:t>3.</w:t>
            </w:r>
          </w:p>
        </w:tc>
        <w:tc>
          <w:tcPr>
            <w:tcW w:w="7238" w:type="dxa"/>
            <w:tcBorders>
              <w:top w:val="single" w:sz="4" w:space="0" w:color="000000"/>
              <w:left w:val="nil"/>
              <w:bottom w:val="single" w:sz="4" w:space="0" w:color="000000"/>
              <w:right w:val="nil"/>
            </w:tcBorders>
            <w:shd w:val="clear" w:color="00529B" w:fill="DBE5F1" w:themeFill="accent1" w:themeFillTint="33"/>
            <w:tcMar>
              <w:top w:w="90" w:type="dxa"/>
              <w:left w:w="108" w:type="dxa"/>
              <w:bottom w:w="90" w:type="dxa"/>
              <w:right w:w="108" w:type="dxa"/>
            </w:tcMar>
            <w:vAlign w:val="center"/>
          </w:tcPr>
          <w:p w14:paraId="332D895A" w14:textId="77777777" w:rsidR="00AF191F" w:rsidRPr="00C02AD4" w:rsidRDefault="00AF191F" w:rsidP="00AF191F">
            <w:pPr>
              <w:pStyle w:val="WorksheetTable"/>
              <w:spacing w:after="0" w:line="240" w:lineRule="auto"/>
              <w:rPr>
                <w:sz w:val="18"/>
                <w:szCs w:val="18"/>
              </w:rPr>
            </w:pPr>
            <w:r w:rsidRPr="00C02AD4">
              <w:rPr>
                <w:sz w:val="18"/>
                <w:szCs w:val="18"/>
              </w:rPr>
              <w:t>Find ways to leverage students’ life experiences as an asset to building knowledge and skill in your course and program.</w:t>
            </w:r>
          </w:p>
        </w:tc>
        <w:tc>
          <w:tcPr>
            <w:tcW w:w="540" w:type="dxa"/>
            <w:tcBorders>
              <w:top w:val="single" w:sz="4" w:space="0" w:color="000000"/>
              <w:left w:val="nil"/>
              <w:bottom w:val="single" w:sz="4" w:space="0" w:color="000000"/>
              <w:right w:val="nil"/>
            </w:tcBorders>
            <w:shd w:val="clear" w:color="00529B" w:fill="DBE5F1" w:themeFill="accent1" w:themeFillTint="33"/>
            <w:tcMar>
              <w:top w:w="90" w:type="dxa"/>
              <w:left w:w="108" w:type="dxa"/>
              <w:bottom w:w="90" w:type="dxa"/>
              <w:right w:w="108" w:type="dxa"/>
            </w:tcMar>
            <w:vAlign w:val="center"/>
          </w:tcPr>
          <w:p w14:paraId="74FB0235" w14:textId="77777777" w:rsidR="00AF191F" w:rsidRPr="00C02AD4" w:rsidRDefault="00AF191F" w:rsidP="00AF191F">
            <w:pPr>
              <w:pStyle w:val="WorksheetTable"/>
              <w:spacing w:after="0" w:line="240" w:lineRule="auto"/>
              <w:rPr>
                <w:sz w:val="18"/>
                <w:szCs w:val="18"/>
              </w:rPr>
            </w:pPr>
            <w:r w:rsidRPr="00C02AD4">
              <w:rPr>
                <w:sz w:val="18"/>
                <w:szCs w:val="18"/>
              </w:rPr>
              <w:t>1</w:t>
            </w:r>
          </w:p>
        </w:tc>
        <w:tc>
          <w:tcPr>
            <w:tcW w:w="540" w:type="dxa"/>
            <w:tcBorders>
              <w:top w:val="single" w:sz="4" w:space="0" w:color="000000"/>
              <w:left w:val="nil"/>
              <w:bottom w:val="single" w:sz="4" w:space="0" w:color="000000"/>
              <w:right w:val="nil"/>
            </w:tcBorders>
            <w:shd w:val="clear" w:color="00529B" w:fill="DBE5F1" w:themeFill="accent1" w:themeFillTint="33"/>
            <w:tcMar>
              <w:top w:w="90" w:type="dxa"/>
              <w:left w:w="108" w:type="dxa"/>
              <w:bottom w:w="90" w:type="dxa"/>
              <w:right w:w="108" w:type="dxa"/>
            </w:tcMar>
            <w:vAlign w:val="center"/>
          </w:tcPr>
          <w:p w14:paraId="5C909427" w14:textId="77777777" w:rsidR="00AF191F" w:rsidRPr="00C02AD4" w:rsidRDefault="00AF191F" w:rsidP="00AF191F">
            <w:pPr>
              <w:pStyle w:val="WorksheetTable"/>
              <w:spacing w:after="0" w:line="240" w:lineRule="auto"/>
              <w:rPr>
                <w:sz w:val="18"/>
                <w:szCs w:val="18"/>
              </w:rPr>
            </w:pPr>
            <w:r w:rsidRPr="00C02AD4">
              <w:rPr>
                <w:sz w:val="18"/>
                <w:szCs w:val="18"/>
              </w:rPr>
              <w:t>2</w:t>
            </w:r>
          </w:p>
        </w:tc>
        <w:tc>
          <w:tcPr>
            <w:tcW w:w="630" w:type="dxa"/>
            <w:tcBorders>
              <w:top w:val="single" w:sz="4" w:space="0" w:color="000000"/>
              <w:left w:val="nil"/>
              <w:bottom w:val="single" w:sz="4" w:space="0" w:color="000000"/>
              <w:right w:val="nil"/>
            </w:tcBorders>
            <w:shd w:val="clear" w:color="00529B" w:fill="DBE5F1" w:themeFill="accent1" w:themeFillTint="33"/>
            <w:tcMar>
              <w:top w:w="90" w:type="dxa"/>
              <w:left w:w="108" w:type="dxa"/>
              <w:bottom w:w="90" w:type="dxa"/>
              <w:right w:w="108" w:type="dxa"/>
            </w:tcMar>
            <w:vAlign w:val="center"/>
          </w:tcPr>
          <w:p w14:paraId="31908166" w14:textId="77777777" w:rsidR="00AF191F" w:rsidRPr="00C02AD4" w:rsidRDefault="00AF191F" w:rsidP="00AF191F">
            <w:pPr>
              <w:pStyle w:val="WorksheetTable"/>
              <w:spacing w:after="0" w:line="240" w:lineRule="auto"/>
              <w:rPr>
                <w:sz w:val="18"/>
                <w:szCs w:val="18"/>
              </w:rPr>
            </w:pPr>
            <w:r w:rsidRPr="00C02AD4">
              <w:rPr>
                <w:sz w:val="18"/>
                <w:szCs w:val="18"/>
              </w:rPr>
              <w:t>3</w:t>
            </w:r>
          </w:p>
        </w:tc>
      </w:tr>
      <w:tr w:rsidR="00AF191F" w:rsidRPr="00C02AD4" w14:paraId="51C98FC6" w14:textId="77777777" w:rsidTr="00AF191F">
        <w:trPr>
          <w:trHeight w:val="576"/>
        </w:trPr>
        <w:tc>
          <w:tcPr>
            <w:tcW w:w="412" w:type="dxa"/>
            <w:tcBorders>
              <w:top w:val="single" w:sz="4" w:space="0" w:color="000000"/>
              <w:left w:val="nil"/>
              <w:bottom w:val="single" w:sz="4" w:space="0" w:color="000000"/>
              <w:right w:val="nil"/>
            </w:tcBorders>
            <w:shd w:val="clear" w:color="00529B" w:fill="DBE5F1" w:themeFill="accent1" w:themeFillTint="33"/>
            <w:tcMar>
              <w:top w:w="90" w:type="dxa"/>
              <w:left w:w="108" w:type="dxa"/>
              <w:bottom w:w="90" w:type="dxa"/>
              <w:right w:w="108" w:type="dxa"/>
            </w:tcMar>
            <w:vAlign w:val="center"/>
          </w:tcPr>
          <w:p w14:paraId="76AD8DD2" w14:textId="77777777" w:rsidR="00AF191F" w:rsidRPr="00C02AD4" w:rsidRDefault="00AF191F" w:rsidP="00AF191F">
            <w:pPr>
              <w:pStyle w:val="WorksheetTable"/>
              <w:spacing w:after="0" w:line="240" w:lineRule="auto"/>
              <w:rPr>
                <w:sz w:val="18"/>
                <w:szCs w:val="18"/>
              </w:rPr>
            </w:pPr>
            <w:r w:rsidRPr="00C02AD4">
              <w:rPr>
                <w:sz w:val="18"/>
                <w:szCs w:val="18"/>
              </w:rPr>
              <w:t>4.</w:t>
            </w:r>
          </w:p>
        </w:tc>
        <w:tc>
          <w:tcPr>
            <w:tcW w:w="7238" w:type="dxa"/>
            <w:tcBorders>
              <w:top w:val="single" w:sz="4" w:space="0" w:color="000000"/>
              <w:left w:val="nil"/>
              <w:bottom w:val="single" w:sz="4" w:space="0" w:color="000000"/>
              <w:right w:val="nil"/>
            </w:tcBorders>
            <w:shd w:val="clear" w:color="00529B" w:fill="DBE5F1" w:themeFill="accent1" w:themeFillTint="33"/>
            <w:tcMar>
              <w:top w:w="90" w:type="dxa"/>
              <w:left w:w="108" w:type="dxa"/>
              <w:bottom w:w="90" w:type="dxa"/>
              <w:right w:w="108" w:type="dxa"/>
            </w:tcMar>
            <w:vAlign w:val="center"/>
          </w:tcPr>
          <w:p w14:paraId="7B26B875" w14:textId="77777777" w:rsidR="00AF191F" w:rsidRPr="00C02AD4" w:rsidRDefault="00AF191F" w:rsidP="00AF191F">
            <w:pPr>
              <w:pStyle w:val="WorksheetTable"/>
              <w:spacing w:after="0" w:line="240" w:lineRule="auto"/>
              <w:rPr>
                <w:sz w:val="18"/>
                <w:szCs w:val="18"/>
              </w:rPr>
            </w:pPr>
            <w:r w:rsidRPr="00C02AD4">
              <w:rPr>
                <w:sz w:val="18"/>
                <w:szCs w:val="18"/>
              </w:rPr>
              <w:t>Use wait time, small groups, think-pair-share, and writing time as well as other strategies that enhance students’ opportunities to contribute and benefit from the intellectual community of the classroom.</w:t>
            </w:r>
          </w:p>
        </w:tc>
        <w:tc>
          <w:tcPr>
            <w:tcW w:w="540" w:type="dxa"/>
            <w:tcBorders>
              <w:top w:val="single" w:sz="4" w:space="0" w:color="000000"/>
              <w:left w:val="nil"/>
              <w:bottom w:val="single" w:sz="4" w:space="0" w:color="000000"/>
              <w:right w:val="nil"/>
            </w:tcBorders>
            <w:shd w:val="clear" w:color="00529B" w:fill="DBE5F1" w:themeFill="accent1" w:themeFillTint="33"/>
            <w:tcMar>
              <w:top w:w="90" w:type="dxa"/>
              <w:left w:w="108" w:type="dxa"/>
              <w:bottom w:w="90" w:type="dxa"/>
              <w:right w:w="108" w:type="dxa"/>
            </w:tcMar>
            <w:vAlign w:val="center"/>
          </w:tcPr>
          <w:p w14:paraId="177F546C" w14:textId="77777777" w:rsidR="00AF191F" w:rsidRPr="00C02AD4" w:rsidRDefault="00AF191F" w:rsidP="00AF191F">
            <w:pPr>
              <w:pStyle w:val="WorksheetTable"/>
              <w:spacing w:after="0" w:line="240" w:lineRule="auto"/>
              <w:rPr>
                <w:sz w:val="18"/>
                <w:szCs w:val="18"/>
              </w:rPr>
            </w:pPr>
            <w:r w:rsidRPr="00C02AD4">
              <w:rPr>
                <w:sz w:val="18"/>
                <w:szCs w:val="18"/>
              </w:rPr>
              <w:t>1</w:t>
            </w:r>
          </w:p>
        </w:tc>
        <w:tc>
          <w:tcPr>
            <w:tcW w:w="540" w:type="dxa"/>
            <w:tcBorders>
              <w:top w:val="single" w:sz="4" w:space="0" w:color="000000"/>
              <w:left w:val="nil"/>
              <w:bottom w:val="single" w:sz="4" w:space="0" w:color="000000"/>
              <w:right w:val="nil"/>
            </w:tcBorders>
            <w:shd w:val="clear" w:color="00529B" w:fill="DBE5F1" w:themeFill="accent1" w:themeFillTint="33"/>
            <w:tcMar>
              <w:top w:w="90" w:type="dxa"/>
              <w:left w:w="108" w:type="dxa"/>
              <w:bottom w:w="90" w:type="dxa"/>
              <w:right w:w="108" w:type="dxa"/>
            </w:tcMar>
            <w:vAlign w:val="center"/>
          </w:tcPr>
          <w:p w14:paraId="0AD666B7" w14:textId="77777777" w:rsidR="00AF191F" w:rsidRPr="00C02AD4" w:rsidRDefault="00AF191F" w:rsidP="00AF191F">
            <w:pPr>
              <w:pStyle w:val="WorksheetTable"/>
              <w:spacing w:after="0" w:line="240" w:lineRule="auto"/>
              <w:rPr>
                <w:sz w:val="18"/>
                <w:szCs w:val="18"/>
              </w:rPr>
            </w:pPr>
            <w:r w:rsidRPr="00C02AD4">
              <w:rPr>
                <w:sz w:val="18"/>
                <w:szCs w:val="18"/>
              </w:rPr>
              <w:t>2</w:t>
            </w:r>
          </w:p>
        </w:tc>
        <w:tc>
          <w:tcPr>
            <w:tcW w:w="630" w:type="dxa"/>
            <w:tcBorders>
              <w:top w:val="single" w:sz="4" w:space="0" w:color="000000"/>
              <w:left w:val="nil"/>
              <w:bottom w:val="single" w:sz="4" w:space="0" w:color="000000"/>
              <w:right w:val="nil"/>
            </w:tcBorders>
            <w:shd w:val="clear" w:color="00529B" w:fill="DBE5F1" w:themeFill="accent1" w:themeFillTint="33"/>
            <w:tcMar>
              <w:top w:w="90" w:type="dxa"/>
              <w:left w:w="108" w:type="dxa"/>
              <w:bottom w:w="90" w:type="dxa"/>
              <w:right w:w="108" w:type="dxa"/>
            </w:tcMar>
            <w:vAlign w:val="center"/>
          </w:tcPr>
          <w:p w14:paraId="5E2F25CA" w14:textId="77777777" w:rsidR="00AF191F" w:rsidRPr="00C02AD4" w:rsidRDefault="00AF191F" w:rsidP="00AF191F">
            <w:pPr>
              <w:pStyle w:val="WorksheetTable"/>
              <w:spacing w:after="0" w:line="240" w:lineRule="auto"/>
              <w:rPr>
                <w:sz w:val="18"/>
                <w:szCs w:val="18"/>
              </w:rPr>
            </w:pPr>
            <w:r w:rsidRPr="00C02AD4">
              <w:rPr>
                <w:sz w:val="18"/>
                <w:szCs w:val="18"/>
              </w:rPr>
              <w:t>3</w:t>
            </w:r>
          </w:p>
        </w:tc>
      </w:tr>
      <w:tr w:rsidR="00AF191F" w:rsidRPr="00C02AD4" w14:paraId="415DC0AB" w14:textId="77777777" w:rsidTr="00AF191F">
        <w:trPr>
          <w:trHeight w:val="576"/>
        </w:trPr>
        <w:tc>
          <w:tcPr>
            <w:tcW w:w="412" w:type="dxa"/>
            <w:tcBorders>
              <w:top w:val="single" w:sz="4" w:space="0" w:color="000000"/>
              <w:left w:val="nil"/>
              <w:bottom w:val="single" w:sz="4" w:space="0" w:color="000000"/>
              <w:right w:val="nil"/>
            </w:tcBorders>
            <w:shd w:val="clear" w:color="00529B" w:fill="DBE5F1" w:themeFill="accent1" w:themeFillTint="33"/>
            <w:tcMar>
              <w:top w:w="90" w:type="dxa"/>
              <w:left w:w="108" w:type="dxa"/>
              <w:bottom w:w="90" w:type="dxa"/>
              <w:right w:w="108" w:type="dxa"/>
            </w:tcMar>
            <w:vAlign w:val="center"/>
          </w:tcPr>
          <w:p w14:paraId="3C9D6D28" w14:textId="77777777" w:rsidR="00AF191F" w:rsidRPr="00C02AD4" w:rsidRDefault="00AF191F" w:rsidP="00AF191F">
            <w:pPr>
              <w:pStyle w:val="WorksheetTable"/>
              <w:spacing w:after="0" w:line="240" w:lineRule="auto"/>
              <w:rPr>
                <w:sz w:val="18"/>
                <w:szCs w:val="18"/>
              </w:rPr>
            </w:pPr>
            <w:r w:rsidRPr="00C02AD4">
              <w:rPr>
                <w:sz w:val="18"/>
                <w:szCs w:val="18"/>
              </w:rPr>
              <w:t>5.</w:t>
            </w:r>
          </w:p>
        </w:tc>
        <w:tc>
          <w:tcPr>
            <w:tcW w:w="7238" w:type="dxa"/>
            <w:tcBorders>
              <w:top w:val="single" w:sz="4" w:space="0" w:color="000000"/>
              <w:left w:val="nil"/>
              <w:bottom w:val="single" w:sz="4" w:space="0" w:color="000000"/>
              <w:right w:val="nil"/>
            </w:tcBorders>
            <w:shd w:val="clear" w:color="00529B" w:fill="DBE5F1" w:themeFill="accent1" w:themeFillTint="33"/>
            <w:tcMar>
              <w:top w:w="90" w:type="dxa"/>
              <w:left w:w="108" w:type="dxa"/>
              <w:bottom w:w="90" w:type="dxa"/>
              <w:right w:w="108" w:type="dxa"/>
            </w:tcMar>
            <w:vAlign w:val="center"/>
          </w:tcPr>
          <w:p w14:paraId="7E716348" w14:textId="77777777" w:rsidR="00AF191F" w:rsidRPr="00C02AD4" w:rsidRDefault="00AF191F" w:rsidP="00AF191F">
            <w:pPr>
              <w:pStyle w:val="WorksheetTable"/>
              <w:spacing w:after="0" w:line="240" w:lineRule="auto"/>
              <w:rPr>
                <w:sz w:val="18"/>
                <w:szCs w:val="18"/>
              </w:rPr>
            </w:pPr>
            <w:r w:rsidRPr="00C02AD4">
              <w:rPr>
                <w:sz w:val="18"/>
                <w:szCs w:val="18"/>
              </w:rPr>
              <w:t xml:space="preserve">Increase course structure through graded out-of-class assignments and in-class active learning, including the strategies listed above. </w:t>
            </w:r>
          </w:p>
        </w:tc>
        <w:tc>
          <w:tcPr>
            <w:tcW w:w="540" w:type="dxa"/>
            <w:tcBorders>
              <w:top w:val="single" w:sz="4" w:space="0" w:color="000000"/>
              <w:left w:val="nil"/>
              <w:bottom w:val="single" w:sz="4" w:space="0" w:color="000000"/>
              <w:right w:val="nil"/>
            </w:tcBorders>
            <w:shd w:val="clear" w:color="00529B" w:fill="DBE5F1" w:themeFill="accent1" w:themeFillTint="33"/>
            <w:tcMar>
              <w:top w:w="90" w:type="dxa"/>
              <w:left w:w="108" w:type="dxa"/>
              <w:bottom w:w="90" w:type="dxa"/>
              <w:right w:w="108" w:type="dxa"/>
            </w:tcMar>
            <w:vAlign w:val="center"/>
          </w:tcPr>
          <w:p w14:paraId="5EFAB37F" w14:textId="77777777" w:rsidR="00AF191F" w:rsidRPr="00C02AD4" w:rsidRDefault="00AF191F" w:rsidP="00AF191F">
            <w:pPr>
              <w:pStyle w:val="WorksheetTable"/>
              <w:spacing w:after="0" w:line="240" w:lineRule="auto"/>
              <w:rPr>
                <w:sz w:val="18"/>
                <w:szCs w:val="18"/>
              </w:rPr>
            </w:pPr>
            <w:r w:rsidRPr="00C02AD4">
              <w:rPr>
                <w:sz w:val="18"/>
                <w:szCs w:val="18"/>
              </w:rPr>
              <w:t>1</w:t>
            </w:r>
          </w:p>
        </w:tc>
        <w:tc>
          <w:tcPr>
            <w:tcW w:w="540" w:type="dxa"/>
            <w:tcBorders>
              <w:top w:val="single" w:sz="4" w:space="0" w:color="000000"/>
              <w:left w:val="nil"/>
              <w:bottom w:val="single" w:sz="4" w:space="0" w:color="000000"/>
              <w:right w:val="nil"/>
            </w:tcBorders>
            <w:shd w:val="clear" w:color="00529B" w:fill="DBE5F1" w:themeFill="accent1" w:themeFillTint="33"/>
            <w:tcMar>
              <w:top w:w="90" w:type="dxa"/>
              <w:left w:w="108" w:type="dxa"/>
              <w:bottom w:w="90" w:type="dxa"/>
              <w:right w:w="108" w:type="dxa"/>
            </w:tcMar>
            <w:vAlign w:val="center"/>
          </w:tcPr>
          <w:p w14:paraId="52C4F02B" w14:textId="77777777" w:rsidR="00AF191F" w:rsidRPr="00C02AD4" w:rsidRDefault="00AF191F" w:rsidP="00AF191F">
            <w:pPr>
              <w:pStyle w:val="WorksheetTable"/>
              <w:spacing w:after="0" w:line="240" w:lineRule="auto"/>
              <w:rPr>
                <w:sz w:val="18"/>
                <w:szCs w:val="18"/>
              </w:rPr>
            </w:pPr>
            <w:r w:rsidRPr="00C02AD4">
              <w:rPr>
                <w:sz w:val="18"/>
                <w:szCs w:val="18"/>
              </w:rPr>
              <w:t>2</w:t>
            </w:r>
          </w:p>
        </w:tc>
        <w:tc>
          <w:tcPr>
            <w:tcW w:w="630" w:type="dxa"/>
            <w:tcBorders>
              <w:top w:val="single" w:sz="4" w:space="0" w:color="000000"/>
              <w:left w:val="nil"/>
              <w:bottom w:val="single" w:sz="4" w:space="0" w:color="000000"/>
              <w:right w:val="nil"/>
            </w:tcBorders>
            <w:shd w:val="clear" w:color="00529B" w:fill="DBE5F1" w:themeFill="accent1" w:themeFillTint="33"/>
            <w:tcMar>
              <w:top w:w="90" w:type="dxa"/>
              <w:left w:w="108" w:type="dxa"/>
              <w:bottom w:w="90" w:type="dxa"/>
              <w:right w:w="108" w:type="dxa"/>
            </w:tcMar>
            <w:vAlign w:val="center"/>
          </w:tcPr>
          <w:p w14:paraId="683E8413" w14:textId="77777777" w:rsidR="00AF191F" w:rsidRPr="00C02AD4" w:rsidRDefault="00AF191F" w:rsidP="00AF191F">
            <w:pPr>
              <w:pStyle w:val="WorksheetTable"/>
              <w:spacing w:after="0" w:line="240" w:lineRule="auto"/>
              <w:rPr>
                <w:sz w:val="18"/>
                <w:szCs w:val="18"/>
              </w:rPr>
            </w:pPr>
            <w:r w:rsidRPr="00C02AD4">
              <w:rPr>
                <w:sz w:val="18"/>
                <w:szCs w:val="18"/>
              </w:rPr>
              <w:t>3</w:t>
            </w:r>
          </w:p>
        </w:tc>
      </w:tr>
      <w:tr w:rsidR="00AF191F" w:rsidRPr="00C02AD4" w14:paraId="64C13A06" w14:textId="77777777" w:rsidTr="00AF191F">
        <w:trPr>
          <w:trHeight w:val="576"/>
        </w:trPr>
        <w:tc>
          <w:tcPr>
            <w:tcW w:w="412" w:type="dxa"/>
            <w:tcBorders>
              <w:top w:val="single" w:sz="4" w:space="0" w:color="000000"/>
              <w:left w:val="nil"/>
              <w:bottom w:val="single" w:sz="4" w:space="0" w:color="000000"/>
              <w:right w:val="nil"/>
            </w:tcBorders>
            <w:shd w:val="clear" w:color="00529B" w:fill="DBE5F1" w:themeFill="accent1" w:themeFillTint="33"/>
            <w:tcMar>
              <w:top w:w="90" w:type="dxa"/>
              <w:left w:w="108" w:type="dxa"/>
              <w:bottom w:w="90" w:type="dxa"/>
              <w:right w:w="108" w:type="dxa"/>
            </w:tcMar>
            <w:vAlign w:val="center"/>
          </w:tcPr>
          <w:p w14:paraId="44B52BF3" w14:textId="77777777" w:rsidR="00AF191F" w:rsidRPr="00C02AD4" w:rsidRDefault="00AF191F" w:rsidP="00AF191F">
            <w:pPr>
              <w:pStyle w:val="WorksheetTable"/>
              <w:spacing w:after="0" w:line="240" w:lineRule="auto"/>
              <w:rPr>
                <w:sz w:val="18"/>
                <w:szCs w:val="18"/>
              </w:rPr>
            </w:pPr>
            <w:r w:rsidRPr="00C02AD4">
              <w:rPr>
                <w:sz w:val="18"/>
                <w:szCs w:val="18"/>
              </w:rPr>
              <w:t>6.</w:t>
            </w:r>
          </w:p>
        </w:tc>
        <w:tc>
          <w:tcPr>
            <w:tcW w:w="7238" w:type="dxa"/>
            <w:tcBorders>
              <w:top w:val="single" w:sz="4" w:space="0" w:color="000000"/>
              <w:left w:val="nil"/>
              <w:bottom w:val="single" w:sz="4" w:space="0" w:color="000000"/>
              <w:right w:val="nil"/>
            </w:tcBorders>
            <w:shd w:val="clear" w:color="00529B" w:fill="DBE5F1" w:themeFill="accent1" w:themeFillTint="33"/>
            <w:tcMar>
              <w:top w:w="90" w:type="dxa"/>
              <w:left w:w="108" w:type="dxa"/>
              <w:bottom w:w="90" w:type="dxa"/>
              <w:right w:w="108" w:type="dxa"/>
            </w:tcMar>
            <w:vAlign w:val="center"/>
          </w:tcPr>
          <w:p w14:paraId="7563DC38" w14:textId="77777777" w:rsidR="00AF191F" w:rsidRPr="00C02AD4" w:rsidRDefault="00AF191F" w:rsidP="00AF191F">
            <w:pPr>
              <w:pStyle w:val="WorksheetTable"/>
              <w:spacing w:after="0" w:line="240" w:lineRule="auto"/>
              <w:rPr>
                <w:sz w:val="18"/>
                <w:szCs w:val="18"/>
              </w:rPr>
            </w:pPr>
            <w:r w:rsidRPr="00C02AD4">
              <w:rPr>
                <w:sz w:val="18"/>
                <w:szCs w:val="18"/>
              </w:rPr>
              <w:t xml:space="preserve">Enhance cooperation and reduce competition among students to help promote student feelings of success. </w:t>
            </w:r>
          </w:p>
        </w:tc>
        <w:tc>
          <w:tcPr>
            <w:tcW w:w="540" w:type="dxa"/>
            <w:tcBorders>
              <w:top w:val="single" w:sz="4" w:space="0" w:color="000000"/>
              <w:left w:val="nil"/>
              <w:bottom w:val="single" w:sz="4" w:space="0" w:color="000000"/>
              <w:right w:val="nil"/>
            </w:tcBorders>
            <w:shd w:val="clear" w:color="00529B" w:fill="DBE5F1" w:themeFill="accent1" w:themeFillTint="33"/>
            <w:tcMar>
              <w:top w:w="90" w:type="dxa"/>
              <w:left w:w="108" w:type="dxa"/>
              <w:bottom w:w="90" w:type="dxa"/>
              <w:right w:w="108" w:type="dxa"/>
            </w:tcMar>
            <w:vAlign w:val="center"/>
          </w:tcPr>
          <w:p w14:paraId="13045379" w14:textId="77777777" w:rsidR="00AF191F" w:rsidRPr="00C02AD4" w:rsidRDefault="00AF191F" w:rsidP="00AF191F">
            <w:pPr>
              <w:pStyle w:val="WorksheetTable"/>
              <w:spacing w:after="0" w:line="240" w:lineRule="auto"/>
              <w:rPr>
                <w:sz w:val="18"/>
                <w:szCs w:val="18"/>
              </w:rPr>
            </w:pPr>
            <w:r w:rsidRPr="00C02AD4">
              <w:rPr>
                <w:sz w:val="18"/>
                <w:szCs w:val="18"/>
              </w:rPr>
              <w:t>1</w:t>
            </w:r>
          </w:p>
        </w:tc>
        <w:tc>
          <w:tcPr>
            <w:tcW w:w="540" w:type="dxa"/>
            <w:tcBorders>
              <w:top w:val="single" w:sz="4" w:space="0" w:color="000000"/>
              <w:left w:val="nil"/>
              <w:bottom w:val="single" w:sz="4" w:space="0" w:color="000000"/>
              <w:right w:val="nil"/>
            </w:tcBorders>
            <w:shd w:val="clear" w:color="00529B" w:fill="DBE5F1" w:themeFill="accent1" w:themeFillTint="33"/>
            <w:tcMar>
              <w:top w:w="90" w:type="dxa"/>
              <w:left w:w="108" w:type="dxa"/>
              <w:bottom w:w="90" w:type="dxa"/>
              <w:right w:w="108" w:type="dxa"/>
            </w:tcMar>
            <w:vAlign w:val="center"/>
          </w:tcPr>
          <w:p w14:paraId="2802F7A4" w14:textId="77777777" w:rsidR="00AF191F" w:rsidRPr="00C02AD4" w:rsidRDefault="00AF191F" w:rsidP="00AF191F">
            <w:pPr>
              <w:pStyle w:val="WorksheetTable"/>
              <w:spacing w:after="0" w:line="240" w:lineRule="auto"/>
              <w:rPr>
                <w:sz w:val="18"/>
                <w:szCs w:val="18"/>
              </w:rPr>
            </w:pPr>
            <w:r w:rsidRPr="00C02AD4">
              <w:rPr>
                <w:sz w:val="18"/>
                <w:szCs w:val="18"/>
              </w:rPr>
              <w:t>2</w:t>
            </w:r>
          </w:p>
        </w:tc>
        <w:tc>
          <w:tcPr>
            <w:tcW w:w="630" w:type="dxa"/>
            <w:tcBorders>
              <w:top w:val="single" w:sz="4" w:space="0" w:color="000000"/>
              <w:left w:val="nil"/>
              <w:bottom w:val="single" w:sz="4" w:space="0" w:color="000000"/>
              <w:right w:val="nil"/>
            </w:tcBorders>
            <w:shd w:val="clear" w:color="00529B" w:fill="DBE5F1" w:themeFill="accent1" w:themeFillTint="33"/>
            <w:tcMar>
              <w:top w:w="90" w:type="dxa"/>
              <w:left w:w="108" w:type="dxa"/>
              <w:bottom w:w="90" w:type="dxa"/>
              <w:right w:w="108" w:type="dxa"/>
            </w:tcMar>
            <w:vAlign w:val="center"/>
          </w:tcPr>
          <w:p w14:paraId="14E30847" w14:textId="77777777" w:rsidR="00AF191F" w:rsidRPr="00C02AD4" w:rsidRDefault="00AF191F" w:rsidP="00AF191F">
            <w:pPr>
              <w:pStyle w:val="WorksheetTable"/>
              <w:spacing w:after="0" w:line="240" w:lineRule="auto"/>
              <w:rPr>
                <w:sz w:val="18"/>
                <w:szCs w:val="18"/>
              </w:rPr>
            </w:pPr>
            <w:r w:rsidRPr="00C02AD4">
              <w:rPr>
                <w:sz w:val="18"/>
                <w:szCs w:val="18"/>
              </w:rPr>
              <w:t>3</w:t>
            </w:r>
          </w:p>
        </w:tc>
      </w:tr>
      <w:tr w:rsidR="00AF191F" w:rsidRPr="00C02AD4" w14:paraId="3946BB2C" w14:textId="77777777" w:rsidTr="00AF191F">
        <w:trPr>
          <w:trHeight w:val="576"/>
        </w:trPr>
        <w:tc>
          <w:tcPr>
            <w:tcW w:w="412" w:type="dxa"/>
            <w:tcBorders>
              <w:top w:val="single" w:sz="4" w:space="0" w:color="000000"/>
              <w:left w:val="nil"/>
              <w:bottom w:val="single" w:sz="4" w:space="0" w:color="000000"/>
              <w:right w:val="nil"/>
            </w:tcBorders>
            <w:shd w:val="clear" w:color="00529B" w:fill="DBE5F1" w:themeFill="accent1" w:themeFillTint="33"/>
            <w:tcMar>
              <w:top w:w="90" w:type="dxa"/>
              <w:left w:w="108" w:type="dxa"/>
              <w:bottom w:w="90" w:type="dxa"/>
              <w:right w:w="108" w:type="dxa"/>
            </w:tcMar>
            <w:vAlign w:val="center"/>
          </w:tcPr>
          <w:p w14:paraId="63DBD4CA" w14:textId="77777777" w:rsidR="00AF191F" w:rsidRPr="00C02AD4" w:rsidRDefault="00AF191F" w:rsidP="00AF191F">
            <w:pPr>
              <w:pStyle w:val="WorksheetTable"/>
              <w:spacing w:after="0" w:line="240" w:lineRule="auto"/>
              <w:rPr>
                <w:sz w:val="18"/>
                <w:szCs w:val="18"/>
              </w:rPr>
            </w:pPr>
            <w:r w:rsidRPr="00C02AD4">
              <w:rPr>
                <w:sz w:val="18"/>
                <w:szCs w:val="18"/>
              </w:rPr>
              <w:t>7.</w:t>
            </w:r>
          </w:p>
        </w:tc>
        <w:tc>
          <w:tcPr>
            <w:tcW w:w="7238" w:type="dxa"/>
            <w:tcBorders>
              <w:top w:val="single" w:sz="4" w:space="0" w:color="000000"/>
              <w:left w:val="nil"/>
              <w:bottom w:val="single" w:sz="4" w:space="0" w:color="000000"/>
              <w:right w:val="nil"/>
            </w:tcBorders>
            <w:shd w:val="clear" w:color="00529B" w:fill="DBE5F1" w:themeFill="accent1" w:themeFillTint="33"/>
            <w:tcMar>
              <w:top w:w="90" w:type="dxa"/>
              <w:left w:w="108" w:type="dxa"/>
              <w:bottom w:w="90" w:type="dxa"/>
              <w:right w:w="108" w:type="dxa"/>
            </w:tcMar>
            <w:vAlign w:val="center"/>
          </w:tcPr>
          <w:p w14:paraId="037F36B5" w14:textId="77777777" w:rsidR="00AF191F" w:rsidRPr="00C02AD4" w:rsidRDefault="00AF191F" w:rsidP="00AF191F">
            <w:pPr>
              <w:pStyle w:val="WorksheetTable"/>
              <w:spacing w:after="0" w:line="240" w:lineRule="auto"/>
              <w:rPr>
                <w:sz w:val="18"/>
                <w:szCs w:val="18"/>
              </w:rPr>
            </w:pPr>
            <w:r w:rsidRPr="00C02AD4">
              <w:rPr>
                <w:sz w:val="18"/>
                <w:szCs w:val="18"/>
              </w:rPr>
              <w:t xml:space="preserve">Emphasize the relevance of coursework to real life in order to enhance student interest and engagement. </w:t>
            </w:r>
          </w:p>
        </w:tc>
        <w:tc>
          <w:tcPr>
            <w:tcW w:w="540" w:type="dxa"/>
            <w:tcBorders>
              <w:top w:val="single" w:sz="4" w:space="0" w:color="000000"/>
              <w:left w:val="nil"/>
              <w:bottom w:val="single" w:sz="4" w:space="0" w:color="000000"/>
              <w:right w:val="nil"/>
            </w:tcBorders>
            <w:shd w:val="clear" w:color="00529B" w:fill="DBE5F1" w:themeFill="accent1" w:themeFillTint="33"/>
            <w:tcMar>
              <w:top w:w="90" w:type="dxa"/>
              <w:left w:w="108" w:type="dxa"/>
              <w:bottom w:w="90" w:type="dxa"/>
              <w:right w:w="108" w:type="dxa"/>
            </w:tcMar>
            <w:vAlign w:val="center"/>
          </w:tcPr>
          <w:p w14:paraId="426271C1" w14:textId="77777777" w:rsidR="00AF191F" w:rsidRPr="00C02AD4" w:rsidRDefault="00AF191F" w:rsidP="00AF191F">
            <w:pPr>
              <w:pStyle w:val="WorksheetTable"/>
              <w:spacing w:after="0" w:line="240" w:lineRule="auto"/>
              <w:rPr>
                <w:sz w:val="18"/>
                <w:szCs w:val="18"/>
              </w:rPr>
            </w:pPr>
            <w:r w:rsidRPr="00C02AD4">
              <w:rPr>
                <w:sz w:val="18"/>
                <w:szCs w:val="18"/>
              </w:rPr>
              <w:t>1</w:t>
            </w:r>
          </w:p>
        </w:tc>
        <w:tc>
          <w:tcPr>
            <w:tcW w:w="540" w:type="dxa"/>
            <w:tcBorders>
              <w:top w:val="single" w:sz="4" w:space="0" w:color="000000"/>
              <w:left w:val="nil"/>
              <w:bottom w:val="single" w:sz="4" w:space="0" w:color="000000"/>
              <w:right w:val="nil"/>
            </w:tcBorders>
            <w:shd w:val="clear" w:color="00529B" w:fill="DBE5F1" w:themeFill="accent1" w:themeFillTint="33"/>
            <w:tcMar>
              <w:top w:w="90" w:type="dxa"/>
              <w:left w:w="108" w:type="dxa"/>
              <w:bottom w:w="90" w:type="dxa"/>
              <w:right w:w="108" w:type="dxa"/>
            </w:tcMar>
            <w:vAlign w:val="center"/>
          </w:tcPr>
          <w:p w14:paraId="55B2D533" w14:textId="77777777" w:rsidR="00AF191F" w:rsidRPr="00C02AD4" w:rsidRDefault="00AF191F" w:rsidP="00AF191F">
            <w:pPr>
              <w:pStyle w:val="WorksheetTable"/>
              <w:spacing w:after="0" w:line="240" w:lineRule="auto"/>
              <w:rPr>
                <w:sz w:val="18"/>
                <w:szCs w:val="18"/>
              </w:rPr>
            </w:pPr>
            <w:r w:rsidRPr="00C02AD4">
              <w:rPr>
                <w:sz w:val="18"/>
                <w:szCs w:val="18"/>
              </w:rPr>
              <w:t>2</w:t>
            </w:r>
          </w:p>
        </w:tc>
        <w:tc>
          <w:tcPr>
            <w:tcW w:w="630" w:type="dxa"/>
            <w:tcBorders>
              <w:top w:val="single" w:sz="4" w:space="0" w:color="000000"/>
              <w:left w:val="nil"/>
              <w:bottom w:val="single" w:sz="4" w:space="0" w:color="000000"/>
              <w:right w:val="nil"/>
            </w:tcBorders>
            <w:shd w:val="clear" w:color="00529B" w:fill="DBE5F1" w:themeFill="accent1" w:themeFillTint="33"/>
            <w:tcMar>
              <w:top w:w="90" w:type="dxa"/>
              <w:left w:w="108" w:type="dxa"/>
              <w:bottom w:w="90" w:type="dxa"/>
              <w:right w:w="108" w:type="dxa"/>
            </w:tcMar>
            <w:vAlign w:val="center"/>
          </w:tcPr>
          <w:p w14:paraId="48A9E86F" w14:textId="77777777" w:rsidR="00AF191F" w:rsidRPr="00C02AD4" w:rsidRDefault="00AF191F" w:rsidP="00AF191F">
            <w:pPr>
              <w:pStyle w:val="WorksheetTable"/>
              <w:spacing w:after="0" w:line="240" w:lineRule="auto"/>
              <w:rPr>
                <w:sz w:val="18"/>
                <w:szCs w:val="18"/>
              </w:rPr>
            </w:pPr>
            <w:r w:rsidRPr="00C02AD4">
              <w:rPr>
                <w:sz w:val="18"/>
                <w:szCs w:val="18"/>
              </w:rPr>
              <w:t>3</w:t>
            </w:r>
          </w:p>
        </w:tc>
      </w:tr>
      <w:tr w:rsidR="00AF191F" w:rsidRPr="00C02AD4" w14:paraId="73363DCF" w14:textId="77777777" w:rsidTr="00AF191F">
        <w:trPr>
          <w:trHeight w:val="576"/>
        </w:trPr>
        <w:tc>
          <w:tcPr>
            <w:tcW w:w="412" w:type="dxa"/>
            <w:tcBorders>
              <w:top w:val="single" w:sz="4" w:space="0" w:color="000000"/>
              <w:left w:val="nil"/>
              <w:bottom w:val="single" w:sz="4" w:space="0" w:color="000000"/>
              <w:right w:val="nil"/>
            </w:tcBorders>
            <w:shd w:val="clear" w:color="00529B" w:fill="DBE5F1" w:themeFill="accent1" w:themeFillTint="33"/>
            <w:tcMar>
              <w:top w:w="90" w:type="dxa"/>
              <w:left w:w="108" w:type="dxa"/>
              <w:bottom w:w="90" w:type="dxa"/>
              <w:right w:w="108" w:type="dxa"/>
            </w:tcMar>
            <w:vAlign w:val="center"/>
          </w:tcPr>
          <w:p w14:paraId="69876072" w14:textId="77777777" w:rsidR="00AF191F" w:rsidRPr="00C02AD4" w:rsidRDefault="00AF191F" w:rsidP="00AF191F">
            <w:pPr>
              <w:pStyle w:val="WorksheetTable"/>
              <w:spacing w:after="0" w:line="240" w:lineRule="auto"/>
              <w:rPr>
                <w:sz w:val="18"/>
                <w:szCs w:val="18"/>
              </w:rPr>
            </w:pPr>
            <w:r w:rsidRPr="00C02AD4">
              <w:rPr>
                <w:sz w:val="18"/>
                <w:szCs w:val="18"/>
              </w:rPr>
              <w:t>8.</w:t>
            </w:r>
          </w:p>
        </w:tc>
        <w:tc>
          <w:tcPr>
            <w:tcW w:w="7238" w:type="dxa"/>
            <w:tcBorders>
              <w:top w:val="single" w:sz="4" w:space="0" w:color="000000"/>
              <w:left w:val="nil"/>
              <w:bottom w:val="single" w:sz="4" w:space="0" w:color="000000"/>
              <w:right w:val="nil"/>
            </w:tcBorders>
            <w:shd w:val="clear" w:color="00529B" w:fill="DBE5F1" w:themeFill="accent1" w:themeFillTint="33"/>
            <w:tcMar>
              <w:top w:w="90" w:type="dxa"/>
              <w:left w:w="108" w:type="dxa"/>
              <w:bottom w:w="90" w:type="dxa"/>
              <w:right w:w="108" w:type="dxa"/>
            </w:tcMar>
            <w:vAlign w:val="center"/>
          </w:tcPr>
          <w:p w14:paraId="098BF0F9" w14:textId="77777777" w:rsidR="00AF191F" w:rsidRPr="00C02AD4" w:rsidRDefault="00AF191F" w:rsidP="00AF191F">
            <w:pPr>
              <w:pStyle w:val="WorksheetTable"/>
              <w:spacing w:after="0" w:line="240" w:lineRule="auto"/>
              <w:rPr>
                <w:sz w:val="18"/>
                <w:szCs w:val="18"/>
              </w:rPr>
            </w:pPr>
            <w:r w:rsidRPr="00C02AD4">
              <w:rPr>
                <w:sz w:val="18"/>
                <w:szCs w:val="18"/>
              </w:rPr>
              <w:t>Support students’ sense of autonomy to increase interest and enjoyment and possibly decrease anxiety measures.</w:t>
            </w:r>
          </w:p>
        </w:tc>
        <w:tc>
          <w:tcPr>
            <w:tcW w:w="540" w:type="dxa"/>
            <w:tcBorders>
              <w:top w:val="single" w:sz="4" w:space="0" w:color="000000"/>
              <w:left w:val="nil"/>
              <w:bottom w:val="single" w:sz="4" w:space="0" w:color="000000"/>
              <w:right w:val="nil"/>
            </w:tcBorders>
            <w:shd w:val="clear" w:color="00529B" w:fill="DBE5F1" w:themeFill="accent1" w:themeFillTint="33"/>
            <w:tcMar>
              <w:top w:w="90" w:type="dxa"/>
              <w:left w:w="108" w:type="dxa"/>
              <w:bottom w:w="90" w:type="dxa"/>
              <w:right w:w="108" w:type="dxa"/>
            </w:tcMar>
            <w:vAlign w:val="center"/>
          </w:tcPr>
          <w:p w14:paraId="58A84816" w14:textId="77777777" w:rsidR="00AF191F" w:rsidRPr="00C02AD4" w:rsidRDefault="00AF191F" w:rsidP="00AF191F">
            <w:pPr>
              <w:pStyle w:val="WorksheetTable"/>
              <w:spacing w:after="0" w:line="240" w:lineRule="auto"/>
              <w:rPr>
                <w:sz w:val="18"/>
                <w:szCs w:val="18"/>
              </w:rPr>
            </w:pPr>
            <w:r w:rsidRPr="00C02AD4">
              <w:rPr>
                <w:sz w:val="18"/>
                <w:szCs w:val="18"/>
              </w:rPr>
              <w:t>1</w:t>
            </w:r>
          </w:p>
        </w:tc>
        <w:tc>
          <w:tcPr>
            <w:tcW w:w="540" w:type="dxa"/>
            <w:tcBorders>
              <w:top w:val="single" w:sz="4" w:space="0" w:color="000000"/>
              <w:left w:val="nil"/>
              <w:bottom w:val="single" w:sz="4" w:space="0" w:color="000000"/>
              <w:right w:val="nil"/>
            </w:tcBorders>
            <w:shd w:val="clear" w:color="00529B" w:fill="DBE5F1" w:themeFill="accent1" w:themeFillTint="33"/>
            <w:tcMar>
              <w:top w:w="90" w:type="dxa"/>
              <w:left w:w="108" w:type="dxa"/>
              <w:bottom w:w="90" w:type="dxa"/>
              <w:right w:w="108" w:type="dxa"/>
            </w:tcMar>
            <w:vAlign w:val="center"/>
          </w:tcPr>
          <w:p w14:paraId="4AE266B5" w14:textId="77777777" w:rsidR="00AF191F" w:rsidRPr="00C02AD4" w:rsidRDefault="00AF191F" w:rsidP="00AF191F">
            <w:pPr>
              <w:pStyle w:val="WorksheetTable"/>
              <w:spacing w:after="0" w:line="240" w:lineRule="auto"/>
              <w:rPr>
                <w:sz w:val="18"/>
                <w:szCs w:val="18"/>
              </w:rPr>
            </w:pPr>
            <w:r w:rsidRPr="00C02AD4">
              <w:rPr>
                <w:sz w:val="18"/>
                <w:szCs w:val="18"/>
              </w:rPr>
              <w:t>2</w:t>
            </w:r>
          </w:p>
        </w:tc>
        <w:tc>
          <w:tcPr>
            <w:tcW w:w="630" w:type="dxa"/>
            <w:tcBorders>
              <w:top w:val="single" w:sz="4" w:space="0" w:color="000000"/>
              <w:left w:val="nil"/>
              <w:bottom w:val="single" w:sz="4" w:space="0" w:color="000000"/>
              <w:right w:val="nil"/>
            </w:tcBorders>
            <w:shd w:val="clear" w:color="00529B" w:fill="DBE5F1" w:themeFill="accent1" w:themeFillTint="33"/>
            <w:tcMar>
              <w:top w:w="90" w:type="dxa"/>
              <w:left w:w="108" w:type="dxa"/>
              <w:bottom w:w="90" w:type="dxa"/>
              <w:right w:w="108" w:type="dxa"/>
            </w:tcMar>
            <w:vAlign w:val="center"/>
          </w:tcPr>
          <w:p w14:paraId="6A8B0B1D" w14:textId="77777777" w:rsidR="00AF191F" w:rsidRPr="00C02AD4" w:rsidRDefault="00AF191F" w:rsidP="00AF191F">
            <w:pPr>
              <w:pStyle w:val="WorksheetTable"/>
              <w:spacing w:after="0" w:line="240" w:lineRule="auto"/>
              <w:rPr>
                <w:sz w:val="18"/>
                <w:szCs w:val="18"/>
              </w:rPr>
            </w:pPr>
            <w:r w:rsidRPr="00C02AD4">
              <w:rPr>
                <w:sz w:val="18"/>
                <w:szCs w:val="18"/>
              </w:rPr>
              <w:t>3</w:t>
            </w:r>
          </w:p>
        </w:tc>
      </w:tr>
      <w:tr w:rsidR="00AF191F" w:rsidRPr="00C02AD4" w14:paraId="1B378F82" w14:textId="77777777" w:rsidTr="00AF191F">
        <w:trPr>
          <w:trHeight w:val="720"/>
        </w:trPr>
        <w:tc>
          <w:tcPr>
            <w:tcW w:w="412" w:type="dxa"/>
            <w:tcBorders>
              <w:top w:val="single" w:sz="4" w:space="0" w:color="000000"/>
              <w:left w:val="nil"/>
              <w:bottom w:val="single" w:sz="4" w:space="0" w:color="000000"/>
              <w:right w:val="nil"/>
            </w:tcBorders>
            <w:shd w:val="clear" w:color="00529B" w:fill="DBE5F1" w:themeFill="accent1" w:themeFillTint="33"/>
            <w:tcMar>
              <w:top w:w="90" w:type="dxa"/>
              <w:left w:w="108" w:type="dxa"/>
              <w:bottom w:w="90" w:type="dxa"/>
              <w:right w:w="108" w:type="dxa"/>
            </w:tcMar>
            <w:vAlign w:val="center"/>
          </w:tcPr>
          <w:p w14:paraId="02EE2C15" w14:textId="77777777" w:rsidR="00AF191F" w:rsidRPr="00C02AD4" w:rsidRDefault="00AF191F" w:rsidP="00AF191F">
            <w:pPr>
              <w:pStyle w:val="WorksheetTable"/>
              <w:spacing w:after="0" w:line="240" w:lineRule="auto"/>
              <w:rPr>
                <w:sz w:val="18"/>
                <w:szCs w:val="18"/>
              </w:rPr>
            </w:pPr>
            <w:r w:rsidRPr="00C02AD4">
              <w:rPr>
                <w:sz w:val="18"/>
                <w:szCs w:val="18"/>
              </w:rPr>
              <w:t>9.</w:t>
            </w:r>
          </w:p>
        </w:tc>
        <w:tc>
          <w:tcPr>
            <w:tcW w:w="7238" w:type="dxa"/>
            <w:tcBorders>
              <w:top w:val="single" w:sz="4" w:space="0" w:color="000000"/>
              <w:left w:val="nil"/>
              <w:bottom w:val="single" w:sz="4" w:space="0" w:color="000000"/>
              <w:right w:val="nil"/>
            </w:tcBorders>
            <w:shd w:val="clear" w:color="00529B" w:fill="DBE5F1" w:themeFill="accent1" w:themeFillTint="33"/>
            <w:tcMar>
              <w:top w:w="90" w:type="dxa"/>
              <w:left w:w="108" w:type="dxa"/>
              <w:bottom w:w="90" w:type="dxa"/>
              <w:right w:w="108" w:type="dxa"/>
            </w:tcMar>
            <w:vAlign w:val="center"/>
          </w:tcPr>
          <w:p w14:paraId="061DDB1A" w14:textId="77777777" w:rsidR="00AF191F" w:rsidRPr="00C02AD4" w:rsidRDefault="00AF191F" w:rsidP="00AF191F">
            <w:pPr>
              <w:pStyle w:val="WorksheetTable"/>
              <w:spacing w:after="0" w:line="240" w:lineRule="auto"/>
              <w:rPr>
                <w:sz w:val="18"/>
                <w:szCs w:val="18"/>
              </w:rPr>
            </w:pPr>
            <w:r w:rsidRPr="00C02AD4">
              <w:rPr>
                <w:sz w:val="18"/>
                <w:szCs w:val="18"/>
              </w:rPr>
              <w:t>Read about and consider using social-psychological interventions that are suited to your students and your context. These interventions may focus on helping students endorse a growth mindset, helping students understand adversity as shared, transient experiences to increase social belonging, or helping combat stereotype threat through values affirmation.</w:t>
            </w:r>
          </w:p>
        </w:tc>
        <w:tc>
          <w:tcPr>
            <w:tcW w:w="540" w:type="dxa"/>
            <w:tcBorders>
              <w:top w:val="single" w:sz="4" w:space="0" w:color="000000"/>
              <w:left w:val="nil"/>
              <w:bottom w:val="single" w:sz="4" w:space="0" w:color="000000"/>
              <w:right w:val="nil"/>
            </w:tcBorders>
            <w:shd w:val="clear" w:color="00529B" w:fill="DBE5F1" w:themeFill="accent1" w:themeFillTint="33"/>
            <w:tcMar>
              <w:top w:w="90" w:type="dxa"/>
              <w:left w:w="108" w:type="dxa"/>
              <w:bottom w:w="90" w:type="dxa"/>
              <w:right w:w="108" w:type="dxa"/>
            </w:tcMar>
            <w:vAlign w:val="center"/>
          </w:tcPr>
          <w:p w14:paraId="426B3423" w14:textId="77777777" w:rsidR="00AF191F" w:rsidRPr="00C02AD4" w:rsidRDefault="00AF191F" w:rsidP="00AF191F">
            <w:pPr>
              <w:pStyle w:val="WorksheetTable"/>
              <w:spacing w:after="0" w:line="240" w:lineRule="auto"/>
              <w:rPr>
                <w:sz w:val="18"/>
                <w:szCs w:val="18"/>
              </w:rPr>
            </w:pPr>
            <w:r w:rsidRPr="00C02AD4">
              <w:rPr>
                <w:sz w:val="18"/>
                <w:szCs w:val="18"/>
              </w:rPr>
              <w:t>1</w:t>
            </w:r>
          </w:p>
        </w:tc>
        <w:tc>
          <w:tcPr>
            <w:tcW w:w="540" w:type="dxa"/>
            <w:tcBorders>
              <w:top w:val="single" w:sz="4" w:space="0" w:color="000000"/>
              <w:left w:val="nil"/>
              <w:bottom w:val="single" w:sz="4" w:space="0" w:color="000000"/>
              <w:right w:val="nil"/>
            </w:tcBorders>
            <w:shd w:val="clear" w:color="00529B" w:fill="DBE5F1" w:themeFill="accent1" w:themeFillTint="33"/>
            <w:tcMar>
              <w:top w:w="90" w:type="dxa"/>
              <w:left w:w="108" w:type="dxa"/>
              <w:bottom w:w="90" w:type="dxa"/>
              <w:right w:w="108" w:type="dxa"/>
            </w:tcMar>
            <w:vAlign w:val="center"/>
          </w:tcPr>
          <w:p w14:paraId="25BBFC52" w14:textId="77777777" w:rsidR="00AF191F" w:rsidRPr="00C02AD4" w:rsidRDefault="00AF191F" w:rsidP="00AF191F">
            <w:pPr>
              <w:pStyle w:val="WorksheetTable"/>
              <w:spacing w:after="0" w:line="240" w:lineRule="auto"/>
              <w:rPr>
                <w:sz w:val="18"/>
                <w:szCs w:val="18"/>
              </w:rPr>
            </w:pPr>
            <w:r w:rsidRPr="00C02AD4">
              <w:rPr>
                <w:sz w:val="18"/>
                <w:szCs w:val="18"/>
              </w:rPr>
              <w:t>2</w:t>
            </w:r>
          </w:p>
        </w:tc>
        <w:tc>
          <w:tcPr>
            <w:tcW w:w="630" w:type="dxa"/>
            <w:tcBorders>
              <w:top w:val="single" w:sz="4" w:space="0" w:color="000000"/>
              <w:left w:val="nil"/>
              <w:bottom w:val="single" w:sz="4" w:space="0" w:color="000000"/>
              <w:right w:val="nil"/>
            </w:tcBorders>
            <w:shd w:val="clear" w:color="00529B" w:fill="DBE5F1" w:themeFill="accent1" w:themeFillTint="33"/>
            <w:tcMar>
              <w:top w:w="90" w:type="dxa"/>
              <w:left w:w="108" w:type="dxa"/>
              <w:bottom w:w="90" w:type="dxa"/>
              <w:right w:w="108" w:type="dxa"/>
            </w:tcMar>
            <w:vAlign w:val="center"/>
          </w:tcPr>
          <w:p w14:paraId="37CBA9A2" w14:textId="77777777" w:rsidR="00AF191F" w:rsidRPr="00C02AD4" w:rsidRDefault="00AF191F" w:rsidP="00AF191F">
            <w:pPr>
              <w:pStyle w:val="WorksheetTable"/>
              <w:spacing w:after="0" w:line="240" w:lineRule="auto"/>
              <w:rPr>
                <w:sz w:val="18"/>
                <w:szCs w:val="18"/>
              </w:rPr>
            </w:pPr>
            <w:r w:rsidRPr="00C02AD4">
              <w:rPr>
                <w:sz w:val="18"/>
                <w:szCs w:val="18"/>
              </w:rPr>
              <w:t>3</w:t>
            </w:r>
          </w:p>
        </w:tc>
      </w:tr>
      <w:tr w:rsidR="00AF191F" w:rsidRPr="0030062D" w14:paraId="54376186" w14:textId="77777777" w:rsidTr="00AF191F">
        <w:trPr>
          <w:trHeight w:val="593"/>
        </w:trPr>
        <w:tc>
          <w:tcPr>
            <w:tcW w:w="9360" w:type="dxa"/>
            <w:gridSpan w:val="5"/>
            <w:tcBorders>
              <w:top w:val="single" w:sz="4" w:space="0" w:color="000000"/>
              <w:left w:val="nil"/>
              <w:bottom w:val="single" w:sz="4" w:space="0" w:color="000000"/>
              <w:right w:val="nil"/>
            </w:tcBorders>
            <w:shd w:val="clear" w:color="00529B" w:fill="1F497D" w:themeFill="text2"/>
            <w:tcMar>
              <w:top w:w="90" w:type="dxa"/>
              <w:left w:w="108" w:type="dxa"/>
              <w:bottom w:w="90" w:type="dxa"/>
              <w:right w:w="108" w:type="dxa"/>
            </w:tcMar>
            <w:vAlign w:val="center"/>
          </w:tcPr>
          <w:p w14:paraId="3D893808" w14:textId="77777777" w:rsidR="00AF191F" w:rsidRPr="00D719A1" w:rsidRDefault="00AF191F" w:rsidP="00AF191F">
            <w:pPr>
              <w:pStyle w:val="WorksheetHeader"/>
              <w:spacing w:after="0"/>
              <w:jc w:val="center"/>
              <w:rPr>
                <w:color w:val="FFFFFF" w:themeColor="background1"/>
              </w:rPr>
            </w:pPr>
            <w:r w:rsidRPr="00D719A1">
              <w:rPr>
                <w:color w:val="FFFFFF" w:themeColor="background1"/>
              </w:rPr>
              <w:t>Leveraging networks</w:t>
            </w:r>
          </w:p>
        </w:tc>
      </w:tr>
      <w:tr w:rsidR="00AF191F" w:rsidRPr="00C02AD4" w14:paraId="4C6E68BC" w14:textId="77777777" w:rsidTr="00AF191F">
        <w:trPr>
          <w:trHeight w:val="576"/>
        </w:trPr>
        <w:tc>
          <w:tcPr>
            <w:tcW w:w="412" w:type="dxa"/>
            <w:tcBorders>
              <w:top w:val="single" w:sz="4" w:space="0" w:color="000000"/>
              <w:left w:val="nil"/>
              <w:bottom w:val="single" w:sz="4" w:space="0" w:color="000000"/>
              <w:right w:val="nil"/>
            </w:tcBorders>
            <w:shd w:val="clear" w:color="00529B" w:fill="DBE5F1" w:themeFill="accent1" w:themeFillTint="33"/>
            <w:tcMar>
              <w:top w:w="90" w:type="dxa"/>
              <w:left w:w="108" w:type="dxa"/>
              <w:bottom w:w="90" w:type="dxa"/>
              <w:right w:w="108" w:type="dxa"/>
            </w:tcMar>
            <w:vAlign w:val="center"/>
          </w:tcPr>
          <w:p w14:paraId="6BA52A9E" w14:textId="77777777" w:rsidR="00AF191F" w:rsidRPr="00C02AD4" w:rsidRDefault="00AF191F" w:rsidP="00AF191F">
            <w:pPr>
              <w:pStyle w:val="WorksheetTable"/>
              <w:spacing w:after="0" w:line="240" w:lineRule="auto"/>
              <w:rPr>
                <w:sz w:val="18"/>
                <w:szCs w:val="18"/>
              </w:rPr>
            </w:pPr>
            <w:r w:rsidRPr="00C02AD4">
              <w:rPr>
                <w:sz w:val="18"/>
                <w:szCs w:val="18"/>
              </w:rPr>
              <w:t>1.</w:t>
            </w:r>
          </w:p>
        </w:tc>
        <w:tc>
          <w:tcPr>
            <w:tcW w:w="7238" w:type="dxa"/>
            <w:tcBorders>
              <w:top w:val="single" w:sz="4" w:space="0" w:color="000000"/>
              <w:left w:val="nil"/>
              <w:bottom w:val="single" w:sz="4" w:space="0" w:color="000000"/>
              <w:right w:val="nil"/>
            </w:tcBorders>
            <w:shd w:val="clear" w:color="00529B" w:fill="DBE5F1" w:themeFill="accent1" w:themeFillTint="33"/>
            <w:tcMar>
              <w:top w:w="90" w:type="dxa"/>
              <w:left w:w="108" w:type="dxa"/>
              <w:bottom w:w="90" w:type="dxa"/>
              <w:right w:w="108" w:type="dxa"/>
            </w:tcMar>
            <w:vAlign w:val="center"/>
          </w:tcPr>
          <w:p w14:paraId="3A60E08A" w14:textId="77777777" w:rsidR="00AF191F" w:rsidRPr="00C02AD4" w:rsidRDefault="00AF191F" w:rsidP="00AF191F">
            <w:pPr>
              <w:pStyle w:val="WorksheetTable"/>
              <w:spacing w:after="0" w:line="240" w:lineRule="auto"/>
              <w:rPr>
                <w:sz w:val="18"/>
                <w:szCs w:val="18"/>
              </w:rPr>
            </w:pPr>
            <w:r w:rsidRPr="00C02AD4">
              <w:rPr>
                <w:sz w:val="18"/>
                <w:szCs w:val="18"/>
              </w:rPr>
              <w:t xml:space="preserve">Explicitly connect other aspects of campus life designed for student success to classroom content. </w:t>
            </w:r>
          </w:p>
        </w:tc>
        <w:tc>
          <w:tcPr>
            <w:tcW w:w="540" w:type="dxa"/>
            <w:tcBorders>
              <w:top w:val="single" w:sz="4" w:space="0" w:color="000000"/>
              <w:left w:val="nil"/>
              <w:bottom w:val="single" w:sz="4" w:space="0" w:color="000000"/>
              <w:right w:val="nil"/>
            </w:tcBorders>
            <w:shd w:val="clear" w:color="00529B" w:fill="DBE5F1" w:themeFill="accent1" w:themeFillTint="33"/>
            <w:tcMar>
              <w:top w:w="90" w:type="dxa"/>
              <w:left w:w="108" w:type="dxa"/>
              <w:bottom w:w="90" w:type="dxa"/>
              <w:right w:w="108" w:type="dxa"/>
            </w:tcMar>
            <w:vAlign w:val="center"/>
          </w:tcPr>
          <w:p w14:paraId="3192F2C3" w14:textId="77777777" w:rsidR="00AF191F" w:rsidRPr="00C02AD4" w:rsidRDefault="00AF191F" w:rsidP="00AF191F">
            <w:pPr>
              <w:pStyle w:val="WorksheetTable"/>
              <w:spacing w:after="0" w:line="240" w:lineRule="auto"/>
              <w:rPr>
                <w:sz w:val="18"/>
                <w:szCs w:val="18"/>
              </w:rPr>
            </w:pPr>
            <w:r w:rsidRPr="00C02AD4">
              <w:rPr>
                <w:sz w:val="18"/>
                <w:szCs w:val="18"/>
              </w:rPr>
              <w:t>1</w:t>
            </w:r>
          </w:p>
        </w:tc>
        <w:tc>
          <w:tcPr>
            <w:tcW w:w="540" w:type="dxa"/>
            <w:tcBorders>
              <w:top w:val="single" w:sz="4" w:space="0" w:color="000000"/>
              <w:left w:val="nil"/>
              <w:bottom w:val="single" w:sz="4" w:space="0" w:color="000000"/>
              <w:right w:val="nil"/>
            </w:tcBorders>
            <w:shd w:val="clear" w:color="00529B" w:fill="DBE5F1" w:themeFill="accent1" w:themeFillTint="33"/>
            <w:tcMar>
              <w:top w:w="90" w:type="dxa"/>
              <w:left w:w="108" w:type="dxa"/>
              <w:bottom w:w="90" w:type="dxa"/>
              <w:right w:w="108" w:type="dxa"/>
            </w:tcMar>
            <w:vAlign w:val="center"/>
          </w:tcPr>
          <w:p w14:paraId="6D77FA81" w14:textId="77777777" w:rsidR="00AF191F" w:rsidRPr="00C02AD4" w:rsidRDefault="00AF191F" w:rsidP="00AF191F">
            <w:pPr>
              <w:pStyle w:val="WorksheetTable"/>
              <w:spacing w:after="0" w:line="240" w:lineRule="auto"/>
              <w:rPr>
                <w:sz w:val="18"/>
                <w:szCs w:val="18"/>
              </w:rPr>
            </w:pPr>
            <w:r w:rsidRPr="00C02AD4">
              <w:rPr>
                <w:sz w:val="18"/>
                <w:szCs w:val="18"/>
              </w:rPr>
              <w:t>2</w:t>
            </w:r>
          </w:p>
        </w:tc>
        <w:tc>
          <w:tcPr>
            <w:tcW w:w="630" w:type="dxa"/>
            <w:tcBorders>
              <w:top w:val="single" w:sz="4" w:space="0" w:color="000000"/>
              <w:left w:val="nil"/>
              <w:bottom w:val="single" w:sz="4" w:space="0" w:color="000000"/>
              <w:right w:val="nil"/>
            </w:tcBorders>
            <w:shd w:val="clear" w:color="00529B" w:fill="DBE5F1" w:themeFill="accent1" w:themeFillTint="33"/>
            <w:tcMar>
              <w:top w:w="90" w:type="dxa"/>
              <w:left w:w="108" w:type="dxa"/>
              <w:bottom w:w="90" w:type="dxa"/>
              <w:right w:w="108" w:type="dxa"/>
            </w:tcMar>
            <w:vAlign w:val="center"/>
          </w:tcPr>
          <w:p w14:paraId="2ED214A2" w14:textId="77777777" w:rsidR="00AF191F" w:rsidRPr="00C02AD4" w:rsidRDefault="00AF191F" w:rsidP="00AF191F">
            <w:pPr>
              <w:pStyle w:val="WorksheetTable"/>
              <w:spacing w:after="0" w:line="240" w:lineRule="auto"/>
              <w:rPr>
                <w:sz w:val="18"/>
                <w:szCs w:val="18"/>
              </w:rPr>
            </w:pPr>
            <w:r w:rsidRPr="00C02AD4">
              <w:rPr>
                <w:sz w:val="18"/>
                <w:szCs w:val="18"/>
              </w:rPr>
              <w:t>3</w:t>
            </w:r>
          </w:p>
        </w:tc>
      </w:tr>
      <w:tr w:rsidR="00AF191F" w:rsidRPr="00C02AD4" w14:paraId="26C035E0" w14:textId="77777777" w:rsidTr="00AF191F">
        <w:trPr>
          <w:trHeight w:val="576"/>
        </w:trPr>
        <w:tc>
          <w:tcPr>
            <w:tcW w:w="412" w:type="dxa"/>
            <w:tcBorders>
              <w:top w:val="single" w:sz="4" w:space="0" w:color="000000"/>
              <w:left w:val="nil"/>
              <w:bottom w:val="single" w:sz="4" w:space="0" w:color="000000"/>
              <w:right w:val="nil"/>
            </w:tcBorders>
            <w:shd w:val="clear" w:color="00529B" w:fill="DBE5F1" w:themeFill="accent1" w:themeFillTint="33"/>
            <w:tcMar>
              <w:top w:w="90" w:type="dxa"/>
              <w:left w:w="108" w:type="dxa"/>
              <w:bottom w:w="90" w:type="dxa"/>
              <w:right w:w="108" w:type="dxa"/>
            </w:tcMar>
            <w:vAlign w:val="center"/>
          </w:tcPr>
          <w:p w14:paraId="42B4E4FD" w14:textId="77777777" w:rsidR="00AF191F" w:rsidRPr="00C02AD4" w:rsidRDefault="00AF191F" w:rsidP="00AF191F">
            <w:pPr>
              <w:pStyle w:val="WorksheetTable"/>
              <w:spacing w:after="0" w:line="240" w:lineRule="auto"/>
              <w:rPr>
                <w:sz w:val="18"/>
                <w:szCs w:val="18"/>
              </w:rPr>
            </w:pPr>
            <w:r w:rsidRPr="00C02AD4">
              <w:rPr>
                <w:sz w:val="18"/>
                <w:szCs w:val="18"/>
              </w:rPr>
              <w:t>2.</w:t>
            </w:r>
          </w:p>
        </w:tc>
        <w:tc>
          <w:tcPr>
            <w:tcW w:w="7238" w:type="dxa"/>
            <w:tcBorders>
              <w:top w:val="single" w:sz="4" w:space="0" w:color="000000"/>
              <w:left w:val="nil"/>
              <w:bottom w:val="single" w:sz="4" w:space="0" w:color="000000"/>
              <w:right w:val="nil"/>
            </w:tcBorders>
            <w:shd w:val="clear" w:color="00529B" w:fill="DBE5F1" w:themeFill="accent1" w:themeFillTint="33"/>
            <w:tcMar>
              <w:top w:w="90" w:type="dxa"/>
              <w:left w:w="108" w:type="dxa"/>
              <w:bottom w:w="90" w:type="dxa"/>
              <w:right w:w="108" w:type="dxa"/>
            </w:tcMar>
            <w:vAlign w:val="center"/>
          </w:tcPr>
          <w:p w14:paraId="30C19EF2" w14:textId="77777777" w:rsidR="00AF191F" w:rsidRPr="00C02AD4" w:rsidRDefault="00AF191F" w:rsidP="00AF191F">
            <w:pPr>
              <w:pStyle w:val="WorksheetTable"/>
              <w:spacing w:after="0" w:line="240" w:lineRule="auto"/>
              <w:rPr>
                <w:sz w:val="18"/>
                <w:szCs w:val="18"/>
              </w:rPr>
            </w:pPr>
            <w:r w:rsidRPr="00C02AD4">
              <w:rPr>
                <w:sz w:val="18"/>
                <w:szCs w:val="18"/>
              </w:rPr>
              <w:t xml:space="preserve">Invite staff members from offices like career services to spend a few minutes in your classroom explaining to students how the classroom curriculum connects with their services. </w:t>
            </w:r>
          </w:p>
        </w:tc>
        <w:tc>
          <w:tcPr>
            <w:tcW w:w="540" w:type="dxa"/>
            <w:tcBorders>
              <w:top w:val="single" w:sz="4" w:space="0" w:color="000000"/>
              <w:left w:val="nil"/>
              <w:bottom w:val="single" w:sz="4" w:space="0" w:color="000000"/>
              <w:right w:val="nil"/>
            </w:tcBorders>
            <w:shd w:val="clear" w:color="00529B" w:fill="DBE5F1" w:themeFill="accent1" w:themeFillTint="33"/>
            <w:tcMar>
              <w:top w:w="90" w:type="dxa"/>
              <w:left w:w="108" w:type="dxa"/>
              <w:bottom w:w="90" w:type="dxa"/>
              <w:right w:w="108" w:type="dxa"/>
            </w:tcMar>
            <w:vAlign w:val="center"/>
          </w:tcPr>
          <w:p w14:paraId="0EFB6603" w14:textId="77777777" w:rsidR="00AF191F" w:rsidRPr="00C02AD4" w:rsidRDefault="00AF191F" w:rsidP="00AF191F">
            <w:pPr>
              <w:pStyle w:val="WorksheetTable"/>
              <w:spacing w:after="0" w:line="240" w:lineRule="auto"/>
              <w:rPr>
                <w:sz w:val="18"/>
                <w:szCs w:val="18"/>
              </w:rPr>
            </w:pPr>
            <w:r w:rsidRPr="00C02AD4">
              <w:rPr>
                <w:sz w:val="18"/>
                <w:szCs w:val="18"/>
              </w:rPr>
              <w:t>1</w:t>
            </w:r>
          </w:p>
        </w:tc>
        <w:tc>
          <w:tcPr>
            <w:tcW w:w="540" w:type="dxa"/>
            <w:tcBorders>
              <w:top w:val="single" w:sz="4" w:space="0" w:color="000000"/>
              <w:left w:val="nil"/>
              <w:bottom w:val="single" w:sz="4" w:space="0" w:color="000000"/>
              <w:right w:val="nil"/>
            </w:tcBorders>
            <w:shd w:val="clear" w:color="00529B" w:fill="DBE5F1" w:themeFill="accent1" w:themeFillTint="33"/>
            <w:tcMar>
              <w:top w:w="90" w:type="dxa"/>
              <w:left w:w="108" w:type="dxa"/>
              <w:bottom w:w="90" w:type="dxa"/>
              <w:right w:w="108" w:type="dxa"/>
            </w:tcMar>
            <w:vAlign w:val="center"/>
          </w:tcPr>
          <w:p w14:paraId="5D852820" w14:textId="77777777" w:rsidR="00AF191F" w:rsidRPr="00C02AD4" w:rsidRDefault="00AF191F" w:rsidP="00AF191F">
            <w:pPr>
              <w:pStyle w:val="WorksheetTable"/>
              <w:spacing w:after="0" w:line="240" w:lineRule="auto"/>
              <w:rPr>
                <w:sz w:val="18"/>
                <w:szCs w:val="18"/>
              </w:rPr>
            </w:pPr>
            <w:r w:rsidRPr="00C02AD4">
              <w:rPr>
                <w:sz w:val="18"/>
                <w:szCs w:val="18"/>
              </w:rPr>
              <w:t>2</w:t>
            </w:r>
          </w:p>
        </w:tc>
        <w:tc>
          <w:tcPr>
            <w:tcW w:w="630" w:type="dxa"/>
            <w:tcBorders>
              <w:top w:val="single" w:sz="4" w:space="0" w:color="000000"/>
              <w:left w:val="nil"/>
              <w:bottom w:val="single" w:sz="4" w:space="0" w:color="000000"/>
              <w:right w:val="nil"/>
            </w:tcBorders>
            <w:shd w:val="clear" w:color="00529B" w:fill="DBE5F1" w:themeFill="accent1" w:themeFillTint="33"/>
            <w:tcMar>
              <w:top w:w="90" w:type="dxa"/>
              <w:left w:w="108" w:type="dxa"/>
              <w:bottom w:w="90" w:type="dxa"/>
              <w:right w:w="108" w:type="dxa"/>
            </w:tcMar>
            <w:vAlign w:val="center"/>
          </w:tcPr>
          <w:p w14:paraId="586145D1" w14:textId="77777777" w:rsidR="00AF191F" w:rsidRPr="00C02AD4" w:rsidRDefault="00AF191F" w:rsidP="00AF191F">
            <w:pPr>
              <w:pStyle w:val="WorksheetTable"/>
              <w:spacing w:after="0" w:line="240" w:lineRule="auto"/>
              <w:rPr>
                <w:sz w:val="18"/>
                <w:szCs w:val="18"/>
              </w:rPr>
            </w:pPr>
            <w:r w:rsidRPr="00C02AD4">
              <w:rPr>
                <w:sz w:val="18"/>
                <w:szCs w:val="18"/>
              </w:rPr>
              <w:t>3</w:t>
            </w:r>
          </w:p>
        </w:tc>
      </w:tr>
      <w:tr w:rsidR="00AF191F" w:rsidRPr="00C02AD4" w14:paraId="2C57292D" w14:textId="77777777" w:rsidTr="00AF191F">
        <w:trPr>
          <w:trHeight w:val="576"/>
        </w:trPr>
        <w:tc>
          <w:tcPr>
            <w:tcW w:w="412" w:type="dxa"/>
            <w:tcBorders>
              <w:top w:val="single" w:sz="4" w:space="0" w:color="000000"/>
              <w:left w:val="nil"/>
              <w:bottom w:val="single" w:sz="4" w:space="0" w:color="000000"/>
              <w:right w:val="nil"/>
            </w:tcBorders>
            <w:shd w:val="clear" w:color="00529B" w:fill="DBE5F1" w:themeFill="accent1" w:themeFillTint="33"/>
            <w:tcMar>
              <w:top w:w="90" w:type="dxa"/>
              <w:left w:w="108" w:type="dxa"/>
              <w:bottom w:w="90" w:type="dxa"/>
              <w:right w:w="108" w:type="dxa"/>
            </w:tcMar>
            <w:vAlign w:val="center"/>
          </w:tcPr>
          <w:p w14:paraId="36DF88C6" w14:textId="77777777" w:rsidR="00AF191F" w:rsidRPr="00C02AD4" w:rsidRDefault="00AF191F" w:rsidP="00AF191F">
            <w:pPr>
              <w:pStyle w:val="WorksheetTable"/>
              <w:spacing w:after="0" w:line="240" w:lineRule="auto"/>
              <w:rPr>
                <w:sz w:val="18"/>
                <w:szCs w:val="18"/>
              </w:rPr>
            </w:pPr>
            <w:r w:rsidRPr="00C02AD4">
              <w:rPr>
                <w:sz w:val="18"/>
                <w:szCs w:val="18"/>
              </w:rPr>
              <w:t>3.</w:t>
            </w:r>
          </w:p>
        </w:tc>
        <w:tc>
          <w:tcPr>
            <w:tcW w:w="7238" w:type="dxa"/>
            <w:tcBorders>
              <w:top w:val="single" w:sz="4" w:space="0" w:color="000000"/>
              <w:left w:val="nil"/>
              <w:bottom w:val="single" w:sz="4" w:space="0" w:color="000000"/>
              <w:right w:val="nil"/>
            </w:tcBorders>
            <w:shd w:val="clear" w:color="00529B" w:fill="DBE5F1" w:themeFill="accent1" w:themeFillTint="33"/>
            <w:tcMar>
              <w:top w:w="90" w:type="dxa"/>
              <w:left w:w="108" w:type="dxa"/>
              <w:bottom w:w="90" w:type="dxa"/>
              <w:right w:w="108" w:type="dxa"/>
            </w:tcMar>
            <w:vAlign w:val="center"/>
          </w:tcPr>
          <w:p w14:paraId="388EE8D3" w14:textId="77777777" w:rsidR="00AF191F" w:rsidRPr="00C02AD4" w:rsidRDefault="00AF191F" w:rsidP="00AF191F">
            <w:pPr>
              <w:pStyle w:val="WorksheetTable"/>
              <w:spacing w:after="0" w:line="240" w:lineRule="auto"/>
              <w:rPr>
                <w:sz w:val="18"/>
                <w:szCs w:val="18"/>
              </w:rPr>
            </w:pPr>
            <w:r w:rsidRPr="00C02AD4">
              <w:rPr>
                <w:sz w:val="18"/>
                <w:szCs w:val="18"/>
              </w:rPr>
              <w:t>Sync First-Year Experience and College Success courses with your syllabus to maximize the synergistic effects of the learning outcomes of the two courses.</w:t>
            </w:r>
          </w:p>
        </w:tc>
        <w:tc>
          <w:tcPr>
            <w:tcW w:w="540" w:type="dxa"/>
            <w:tcBorders>
              <w:top w:val="single" w:sz="4" w:space="0" w:color="000000"/>
              <w:left w:val="nil"/>
              <w:bottom w:val="single" w:sz="4" w:space="0" w:color="000000"/>
              <w:right w:val="nil"/>
            </w:tcBorders>
            <w:shd w:val="clear" w:color="00529B" w:fill="DBE5F1" w:themeFill="accent1" w:themeFillTint="33"/>
            <w:tcMar>
              <w:top w:w="90" w:type="dxa"/>
              <w:left w:w="108" w:type="dxa"/>
              <w:bottom w:w="90" w:type="dxa"/>
              <w:right w:w="108" w:type="dxa"/>
            </w:tcMar>
            <w:vAlign w:val="center"/>
          </w:tcPr>
          <w:p w14:paraId="5D86B8C6" w14:textId="77777777" w:rsidR="00AF191F" w:rsidRPr="00C02AD4" w:rsidRDefault="00AF191F" w:rsidP="00AF191F">
            <w:pPr>
              <w:pStyle w:val="WorksheetTable"/>
              <w:spacing w:after="0" w:line="240" w:lineRule="auto"/>
              <w:rPr>
                <w:sz w:val="18"/>
                <w:szCs w:val="18"/>
              </w:rPr>
            </w:pPr>
            <w:r w:rsidRPr="00C02AD4">
              <w:rPr>
                <w:sz w:val="18"/>
                <w:szCs w:val="18"/>
              </w:rPr>
              <w:t>1</w:t>
            </w:r>
          </w:p>
        </w:tc>
        <w:tc>
          <w:tcPr>
            <w:tcW w:w="540" w:type="dxa"/>
            <w:tcBorders>
              <w:top w:val="single" w:sz="4" w:space="0" w:color="000000"/>
              <w:left w:val="nil"/>
              <w:bottom w:val="single" w:sz="4" w:space="0" w:color="000000"/>
              <w:right w:val="nil"/>
            </w:tcBorders>
            <w:shd w:val="clear" w:color="00529B" w:fill="DBE5F1" w:themeFill="accent1" w:themeFillTint="33"/>
            <w:tcMar>
              <w:top w:w="90" w:type="dxa"/>
              <w:left w:w="108" w:type="dxa"/>
              <w:bottom w:w="90" w:type="dxa"/>
              <w:right w:w="108" w:type="dxa"/>
            </w:tcMar>
            <w:vAlign w:val="center"/>
          </w:tcPr>
          <w:p w14:paraId="146B60C5" w14:textId="77777777" w:rsidR="00AF191F" w:rsidRPr="00C02AD4" w:rsidRDefault="00AF191F" w:rsidP="00AF191F">
            <w:pPr>
              <w:pStyle w:val="WorksheetTable"/>
              <w:spacing w:after="0" w:line="240" w:lineRule="auto"/>
              <w:rPr>
                <w:sz w:val="18"/>
                <w:szCs w:val="18"/>
              </w:rPr>
            </w:pPr>
            <w:r w:rsidRPr="00C02AD4">
              <w:rPr>
                <w:sz w:val="18"/>
                <w:szCs w:val="18"/>
              </w:rPr>
              <w:t>2</w:t>
            </w:r>
          </w:p>
        </w:tc>
        <w:tc>
          <w:tcPr>
            <w:tcW w:w="630" w:type="dxa"/>
            <w:tcBorders>
              <w:top w:val="single" w:sz="4" w:space="0" w:color="000000"/>
              <w:left w:val="nil"/>
              <w:bottom w:val="single" w:sz="4" w:space="0" w:color="000000"/>
              <w:right w:val="nil"/>
            </w:tcBorders>
            <w:shd w:val="clear" w:color="00529B" w:fill="DBE5F1" w:themeFill="accent1" w:themeFillTint="33"/>
            <w:tcMar>
              <w:top w:w="90" w:type="dxa"/>
              <w:left w:w="108" w:type="dxa"/>
              <w:bottom w:w="90" w:type="dxa"/>
              <w:right w:w="108" w:type="dxa"/>
            </w:tcMar>
            <w:vAlign w:val="center"/>
          </w:tcPr>
          <w:p w14:paraId="766C1B10" w14:textId="77777777" w:rsidR="00AF191F" w:rsidRPr="00C02AD4" w:rsidRDefault="00AF191F" w:rsidP="00AF191F">
            <w:pPr>
              <w:pStyle w:val="WorksheetTable"/>
              <w:spacing w:after="0" w:line="240" w:lineRule="auto"/>
              <w:rPr>
                <w:sz w:val="18"/>
                <w:szCs w:val="18"/>
              </w:rPr>
            </w:pPr>
            <w:r w:rsidRPr="00C02AD4">
              <w:rPr>
                <w:sz w:val="18"/>
                <w:szCs w:val="18"/>
              </w:rPr>
              <w:t>3</w:t>
            </w:r>
          </w:p>
        </w:tc>
      </w:tr>
    </w:tbl>
    <w:p w14:paraId="4567AC82" w14:textId="77777777" w:rsidR="00AF191F" w:rsidRDefault="00AF191F" w:rsidP="00AF191F">
      <w:pPr>
        <w:tabs>
          <w:tab w:val="left" w:pos="3027"/>
          <w:tab w:val="left" w:pos="6707"/>
        </w:tabs>
      </w:pPr>
    </w:p>
    <w:p w14:paraId="1E1367E3" w14:textId="77777777" w:rsidR="00AF191F" w:rsidRPr="00AF191F" w:rsidRDefault="00AF191F" w:rsidP="00AF191F">
      <w:pPr>
        <w:tabs>
          <w:tab w:val="left" w:pos="90"/>
        </w:tabs>
        <w:spacing w:line="240" w:lineRule="auto"/>
        <w:ind w:left="-274"/>
        <w:rPr>
          <w:rFonts w:asciiTheme="majorHAnsi" w:eastAsiaTheme="minorEastAsia" w:hAnsiTheme="majorHAnsi" w:cs="ITCAvantGardeStd-BkCn"/>
          <w:color w:val="000000"/>
          <w:sz w:val="20"/>
          <w:szCs w:val="20"/>
        </w:rPr>
      </w:pPr>
      <w:r w:rsidRPr="00AF191F">
        <w:rPr>
          <w:rFonts w:asciiTheme="majorHAnsi" w:eastAsiaTheme="minorEastAsia" w:hAnsiTheme="majorHAnsi" w:cs="ITCAvantGardeStd-BkCn"/>
          <w:b/>
          <w:color w:val="000000"/>
          <w:sz w:val="20"/>
          <w:szCs w:val="20"/>
        </w:rPr>
        <w:t>Reflective Questions (for faculty users of this tool):</w:t>
      </w:r>
      <w:r w:rsidRPr="00AF191F">
        <w:rPr>
          <w:rFonts w:asciiTheme="majorHAnsi" w:eastAsiaTheme="minorEastAsia" w:hAnsiTheme="majorHAnsi" w:cs="ITCAvantGardeStd-BkCn"/>
          <w:color w:val="000000"/>
          <w:sz w:val="20"/>
          <w:szCs w:val="20"/>
        </w:rPr>
        <w:t xml:space="preserve"> After you complete your responses to each of the tool’s items, please take some time to think about these questions as you plan your next steps:</w:t>
      </w:r>
    </w:p>
    <w:p w14:paraId="69852C4E" w14:textId="77777777" w:rsidR="00AF191F" w:rsidRPr="00AF191F" w:rsidRDefault="00AF191F" w:rsidP="00AF191F">
      <w:pPr>
        <w:tabs>
          <w:tab w:val="left" w:pos="90"/>
        </w:tabs>
        <w:spacing w:line="240" w:lineRule="auto"/>
        <w:ind w:left="576" w:hanging="288"/>
        <w:rPr>
          <w:rFonts w:asciiTheme="majorHAnsi" w:eastAsiaTheme="minorEastAsia" w:hAnsiTheme="majorHAnsi" w:cs="ITCAvantGardeStd-BkCn"/>
          <w:color w:val="000000"/>
          <w:sz w:val="20"/>
          <w:szCs w:val="20"/>
        </w:rPr>
      </w:pPr>
      <w:r w:rsidRPr="00AF191F">
        <w:rPr>
          <w:rFonts w:asciiTheme="majorHAnsi" w:eastAsiaTheme="minorEastAsia" w:hAnsiTheme="majorHAnsi" w:cs="ITCAvantGardeStd-BkCn"/>
          <w:color w:val="000000"/>
          <w:sz w:val="20"/>
          <w:szCs w:val="20"/>
        </w:rPr>
        <w:t>1.</w:t>
      </w:r>
      <w:r w:rsidRPr="00AF191F">
        <w:rPr>
          <w:rFonts w:asciiTheme="majorHAnsi" w:eastAsiaTheme="minorEastAsia" w:hAnsiTheme="majorHAnsi" w:cs="ITCAvantGardeStd-BkCn"/>
          <w:color w:val="000000"/>
          <w:sz w:val="20"/>
          <w:szCs w:val="20"/>
        </w:rPr>
        <w:tab/>
        <w:t>Where did you identify current strengths? What areas of need did you identify?</w:t>
      </w:r>
    </w:p>
    <w:p w14:paraId="3501990F" w14:textId="77777777" w:rsidR="00AF191F" w:rsidRPr="00AF191F" w:rsidRDefault="00AF191F" w:rsidP="00AF191F">
      <w:pPr>
        <w:tabs>
          <w:tab w:val="left" w:pos="90"/>
        </w:tabs>
        <w:spacing w:line="240" w:lineRule="auto"/>
        <w:ind w:left="576" w:hanging="288"/>
        <w:rPr>
          <w:rFonts w:asciiTheme="majorHAnsi" w:eastAsiaTheme="minorEastAsia" w:hAnsiTheme="majorHAnsi" w:cs="ITCAvantGardeStd-BkCn"/>
          <w:color w:val="000000"/>
          <w:sz w:val="20"/>
          <w:szCs w:val="20"/>
        </w:rPr>
      </w:pPr>
      <w:r w:rsidRPr="00AF191F">
        <w:rPr>
          <w:rFonts w:asciiTheme="majorHAnsi" w:eastAsiaTheme="minorEastAsia" w:hAnsiTheme="majorHAnsi" w:cs="ITCAvantGardeStd-BkCn"/>
          <w:color w:val="000000"/>
          <w:sz w:val="20"/>
          <w:szCs w:val="20"/>
        </w:rPr>
        <w:t>2.</w:t>
      </w:r>
      <w:r w:rsidRPr="00AF191F">
        <w:rPr>
          <w:rFonts w:asciiTheme="majorHAnsi" w:eastAsiaTheme="minorEastAsia" w:hAnsiTheme="majorHAnsi" w:cs="ITCAvantGardeStd-BkCn"/>
          <w:color w:val="000000"/>
          <w:sz w:val="20"/>
          <w:szCs w:val="20"/>
        </w:rPr>
        <w:tab/>
        <w:t xml:space="preserve">What question or questions were hard to answer? What would you want to learn more about? </w:t>
      </w:r>
    </w:p>
    <w:p w14:paraId="19599D6F" w14:textId="77777777" w:rsidR="00AF191F" w:rsidRPr="00AF191F" w:rsidRDefault="00AF191F" w:rsidP="00AF191F">
      <w:pPr>
        <w:tabs>
          <w:tab w:val="left" w:pos="90"/>
        </w:tabs>
        <w:spacing w:line="240" w:lineRule="auto"/>
        <w:ind w:left="576" w:hanging="288"/>
        <w:rPr>
          <w:rFonts w:asciiTheme="majorHAnsi" w:eastAsiaTheme="minorEastAsia" w:hAnsiTheme="majorHAnsi" w:cs="ITCAvantGardeStd-BkCn"/>
          <w:color w:val="000000"/>
          <w:sz w:val="20"/>
          <w:szCs w:val="20"/>
        </w:rPr>
      </w:pPr>
      <w:r w:rsidRPr="00AF191F">
        <w:rPr>
          <w:rFonts w:asciiTheme="majorHAnsi" w:eastAsiaTheme="minorEastAsia" w:hAnsiTheme="majorHAnsi" w:cs="ITCAvantGardeStd-BkCn"/>
          <w:color w:val="000000"/>
          <w:sz w:val="20"/>
          <w:szCs w:val="20"/>
        </w:rPr>
        <w:t>3.</w:t>
      </w:r>
      <w:r w:rsidRPr="00AF191F">
        <w:rPr>
          <w:rFonts w:asciiTheme="majorHAnsi" w:eastAsiaTheme="minorEastAsia" w:hAnsiTheme="majorHAnsi" w:cs="ITCAvantGardeStd-BkCn"/>
          <w:color w:val="000000"/>
          <w:sz w:val="20"/>
          <w:szCs w:val="20"/>
        </w:rPr>
        <w:tab/>
        <w:t>What do your responses suggest about your knowledge and use of evidence-based inclusive teaching practices? In what ways will you need to seek the support of colleagues in your department? In your college’s PLH?</w:t>
      </w:r>
    </w:p>
    <w:p w14:paraId="53DFB959" w14:textId="4625DCB1" w:rsidR="00A16869" w:rsidRDefault="00AF191F" w:rsidP="003752CC">
      <w:pPr>
        <w:tabs>
          <w:tab w:val="left" w:pos="90"/>
        </w:tabs>
        <w:spacing w:line="240" w:lineRule="auto"/>
        <w:ind w:left="576" w:hanging="288"/>
        <w:rPr>
          <w:rFonts w:asciiTheme="majorHAnsi" w:hAnsiTheme="majorHAnsi"/>
          <w:color w:val="FFFFFF" w:themeColor="background1"/>
          <w:position w:val="-40"/>
          <w:sz w:val="24"/>
          <w:szCs w:val="24"/>
        </w:rPr>
      </w:pPr>
      <w:r w:rsidRPr="00AF191F">
        <w:rPr>
          <w:rFonts w:asciiTheme="majorHAnsi" w:eastAsiaTheme="minorEastAsia" w:hAnsiTheme="majorHAnsi" w:cs="ITCAvantGardeStd-BkCn"/>
          <w:color w:val="000000"/>
          <w:sz w:val="20"/>
          <w:szCs w:val="20"/>
        </w:rPr>
        <w:t>4.</w:t>
      </w:r>
      <w:r w:rsidRPr="00AF191F">
        <w:rPr>
          <w:rFonts w:asciiTheme="majorHAnsi" w:eastAsiaTheme="minorEastAsia" w:hAnsiTheme="majorHAnsi" w:cs="ITCAvantGardeStd-BkCn"/>
          <w:color w:val="000000"/>
          <w:sz w:val="20"/>
          <w:szCs w:val="20"/>
        </w:rPr>
        <w:tab/>
        <w:t>To the extent that you and your faculty colleagues can begin to use these practices (or strengthen the way you already use them), what do you expect that will mean for your students’ learning?</w:t>
      </w:r>
    </w:p>
    <w:p w14:paraId="7F792368" w14:textId="63A39E47" w:rsidR="00A16869" w:rsidRPr="00B85CD2" w:rsidRDefault="00A16869" w:rsidP="00A16869">
      <w:pPr>
        <w:spacing w:line="240" w:lineRule="auto"/>
        <w:ind w:left="-450" w:right="-90"/>
        <w:jc w:val="center"/>
        <w:rPr>
          <w:rFonts w:asciiTheme="majorHAnsi" w:hAnsiTheme="majorHAnsi"/>
          <w:color w:val="FFFFFF" w:themeColor="background1"/>
          <w:position w:val="-40"/>
          <w:sz w:val="24"/>
          <w:szCs w:val="24"/>
        </w:rPr>
      </w:pPr>
      <w:r w:rsidRPr="00B85CD2">
        <w:rPr>
          <w:rFonts w:asciiTheme="majorHAnsi" w:hAnsiTheme="majorHAnsi"/>
          <w:noProof/>
          <w:color w:val="FFFFFF" w:themeColor="background1"/>
          <w:position w:val="-40"/>
          <w:sz w:val="24"/>
          <w:szCs w:val="24"/>
        </w:rPr>
        <w:lastRenderedPageBreak/>
        <w:drawing>
          <wp:anchor distT="0" distB="0" distL="114300" distR="114300" simplePos="0" relativeHeight="251666432" behindDoc="1" locked="0" layoutInCell="1" allowOverlap="1" wp14:anchorId="735E8A83" wp14:editId="0CF4BEDA">
            <wp:simplePos x="0" y="0"/>
            <wp:positionH relativeFrom="column">
              <wp:posOffset>-228600</wp:posOffset>
            </wp:positionH>
            <wp:positionV relativeFrom="paragraph">
              <wp:posOffset>3810</wp:posOffset>
            </wp:positionV>
            <wp:extent cx="5943600" cy="401744"/>
            <wp:effectExtent l="0" t="0" r="0" b="508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ksheet Header Graphic.png"/>
                    <pic:cNvPicPr/>
                  </pic:nvPicPr>
                  <pic:blipFill>
                    <a:blip r:embed="rId8">
                      <a:extLst>
                        <a:ext uri="{28A0092B-C50C-407E-A947-70E740481C1C}">
                          <a14:useLocalDpi xmlns:a14="http://schemas.microsoft.com/office/drawing/2010/main" val="0"/>
                        </a:ext>
                      </a:extLst>
                    </a:blip>
                    <a:stretch>
                      <a:fillRect/>
                    </a:stretch>
                  </pic:blipFill>
                  <pic:spPr>
                    <a:xfrm>
                      <a:off x="0" y="0"/>
                      <a:ext cx="5943600" cy="401744"/>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color w:val="FFFFFF" w:themeColor="background1"/>
          <w:position w:val="-40"/>
          <w:sz w:val="24"/>
          <w:szCs w:val="24"/>
        </w:rPr>
        <w:t>Worksheet Appendix.4</w:t>
      </w:r>
    </w:p>
    <w:p w14:paraId="5852CFC8" w14:textId="77777777" w:rsidR="00A16869" w:rsidRPr="00A16869" w:rsidRDefault="00A16869" w:rsidP="00A16869">
      <w:pPr>
        <w:tabs>
          <w:tab w:val="left" w:pos="90"/>
        </w:tabs>
        <w:spacing w:before="240" w:line="240" w:lineRule="atLeast"/>
        <w:ind w:left="-274"/>
        <w:jc w:val="center"/>
        <w:rPr>
          <w:rFonts w:asciiTheme="majorHAnsi" w:hAnsiTheme="majorHAnsi"/>
          <w:b/>
          <w:color w:val="00836C"/>
          <w:sz w:val="36"/>
          <w:szCs w:val="36"/>
        </w:rPr>
      </w:pPr>
      <w:r w:rsidRPr="00A16869">
        <w:rPr>
          <w:rFonts w:asciiTheme="majorHAnsi" w:hAnsiTheme="majorHAnsi"/>
          <w:b/>
          <w:color w:val="00836C"/>
          <w:sz w:val="36"/>
          <w:szCs w:val="36"/>
        </w:rPr>
        <w:t>Professional Learning for Equity and Inclusive Pedagogy</w:t>
      </w:r>
    </w:p>
    <w:p w14:paraId="431EACB7" w14:textId="77777777" w:rsidR="00A16869" w:rsidRPr="00A16869" w:rsidRDefault="00A16869" w:rsidP="00A16869">
      <w:pPr>
        <w:tabs>
          <w:tab w:val="left" w:pos="90"/>
        </w:tabs>
        <w:spacing w:line="240" w:lineRule="auto"/>
        <w:ind w:left="-270"/>
        <w:rPr>
          <w:rFonts w:asciiTheme="majorHAnsi" w:eastAsiaTheme="minorEastAsia" w:hAnsiTheme="majorHAnsi" w:cs="ITCAvantGardeStd-BkCn"/>
          <w:color w:val="000000"/>
        </w:rPr>
      </w:pPr>
      <w:r w:rsidRPr="00A16869">
        <w:rPr>
          <w:rFonts w:asciiTheme="majorHAnsi" w:eastAsiaTheme="minorEastAsia" w:hAnsiTheme="majorHAnsi" w:cs="ITCAvantGardeStd-BkCn"/>
          <w:color w:val="000000"/>
        </w:rPr>
        <w:t>How can we help our colleges take the lead in dismantling old structures and building new ones that enable more equitable outcomes for our students and their families? How can our educators help students process their experiences related to equity and social protest? How do we support educators to do their own internal work around these issues and prepare to facilitate potentially challenging student conversations?</w:t>
      </w:r>
    </w:p>
    <w:p w14:paraId="0AD4BE6D" w14:textId="6EF12362" w:rsidR="00A16869" w:rsidRPr="00A16869" w:rsidRDefault="00A16869" w:rsidP="00A16869">
      <w:pPr>
        <w:tabs>
          <w:tab w:val="left" w:pos="90"/>
        </w:tabs>
        <w:spacing w:line="240" w:lineRule="auto"/>
        <w:ind w:left="-270"/>
        <w:rPr>
          <w:rFonts w:asciiTheme="majorHAnsi" w:eastAsiaTheme="minorEastAsia" w:hAnsiTheme="majorHAnsi" w:cs="ITCAvantGardeStd-BkCn"/>
          <w:color w:val="000000"/>
        </w:rPr>
      </w:pPr>
      <w:r w:rsidRPr="00A16869">
        <w:rPr>
          <w:rFonts w:asciiTheme="majorHAnsi" w:eastAsiaTheme="minorEastAsia" w:hAnsiTheme="majorHAnsi" w:cs="ITCAvantGardeStd-BkCn"/>
          <w:color w:val="000000"/>
        </w:rPr>
        <w:t>Worksheet Appendix.3 focuses on a Self-Assessment Tool for educators. This Works</w:t>
      </w:r>
      <w:r>
        <w:rPr>
          <w:rFonts w:asciiTheme="majorHAnsi" w:eastAsiaTheme="minorEastAsia" w:hAnsiTheme="majorHAnsi" w:cs="ITCAvantGardeStd-BkCn"/>
          <w:color w:val="000000"/>
        </w:rPr>
        <w:t>heet (4) picks up on that self-</w:t>
      </w:r>
      <w:r w:rsidRPr="00A16869">
        <w:rPr>
          <w:rFonts w:asciiTheme="majorHAnsi" w:eastAsiaTheme="minorEastAsia" w:hAnsiTheme="majorHAnsi" w:cs="ITCAvantGardeStd-BkCn"/>
          <w:color w:val="000000"/>
        </w:rPr>
        <w:t>assessment and moves to issues of inclusive pedagogy and the professional learning programs needed to advance its effective use. You will know best what combination of discussions works best for your team.</w:t>
      </w:r>
    </w:p>
    <w:p w14:paraId="1E9A1C30" w14:textId="77777777" w:rsidR="00A16869" w:rsidRPr="00A16869" w:rsidRDefault="00A16869" w:rsidP="00A16869">
      <w:pPr>
        <w:tabs>
          <w:tab w:val="left" w:pos="90"/>
        </w:tabs>
        <w:spacing w:line="240" w:lineRule="auto"/>
        <w:ind w:left="-270"/>
        <w:rPr>
          <w:rFonts w:asciiTheme="majorHAnsi" w:eastAsiaTheme="minorEastAsia" w:hAnsiTheme="majorHAnsi" w:cs="ITCAvantGardeStd-BkCn"/>
          <w:color w:val="000000"/>
        </w:rPr>
      </w:pPr>
      <w:r w:rsidRPr="00A16869">
        <w:rPr>
          <w:rFonts w:asciiTheme="majorHAnsi" w:eastAsiaTheme="minorEastAsia" w:hAnsiTheme="majorHAnsi" w:cs="ITCAvantGardeStd-BkCn"/>
          <w:color w:val="000000"/>
        </w:rPr>
        <w:t>As part of this process, you may want to review the discussion of inclusive pedagogy and the role of active learning in building equity in Chapter 1 as well as the discussion of high impact professional learning in Chapter 3. The resources in Sidebar Appendix.2 can also be helpful.</w:t>
      </w:r>
    </w:p>
    <w:p w14:paraId="193826F2" w14:textId="77777777" w:rsidR="00A16869" w:rsidRPr="00A16869" w:rsidRDefault="00A16869" w:rsidP="00A16869">
      <w:pPr>
        <w:tabs>
          <w:tab w:val="left" w:pos="90"/>
        </w:tabs>
        <w:spacing w:line="240" w:lineRule="auto"/>
        <w:ind w:left="-270"/>
        <w:rPr>
          <w:rFonts w:asciiTheme="majorHAnsi" w:eastAsiaTheme="minorEastAsia" w:hAnsiTheme="majorHAnsi" w:cs="ITCAvantGardeStd-BkCn"/>
          <w:b/>
          <w:bCs/>
          <w:color w:val="000000"/>
        </w:rPr>
      </w:pPr>
      <w:r w:rsidRPr="00A16869">
        <w:rPr>
          <w:rFonts w:asciiTheme="majorHAnsi" w:eastAsiaTheme="minorEastAsia" w:hAnsiTheme="majorHAnsi" w:cs="ITCAvantGardeStd-BkCn"/>
          <w:b/>
          <w:bCs/>
          <w:color w:val="000000"/>
        </w:rPr>
        <w:t>Follow up on Self-Assessment Tool</w:t>
      </w:r>
    </w:p>
    <w:p w14:paraId="1A3ACCA9" w14:textId="77777777" w:rsidR="00A16869" w:rsidRPr="00A16869" w:rsidRDefault="00A16869" w:rsidP="00A16869">
      <w:pPr>
        <w:tabs>
          <w:tab w:val="left" w:pos="90"/>
        </w:tabs>
        <w:spacing w:line="240" w:lineRule="auto"/>
        <w:ind w:left="-270"/>
        <w:rPr>
          <w:rFonts w:asciiTheme="majorHAnsi" w:eastAsiaTheme="minorEastAsia" w:hAnsiTheme="majorHAnsi" w:cs="ITCAvantGardeStd-BkCn"/>
          <w:color w:val="000000"/>
        </w:rPr>
      </w:pPr>
      <w:r w:rsidRPr="00A16869">
        <w:rPr>
          <w:rFonts w:asciiTheme="majorHAnsi" w:eastAsiaTheme="minorEastAsia" w:hAnsiTheme="majorHAnsi" w:cs="ITCAvantGardeStd-BkCn"/>
          <w:color w:val="000000"/>
        </w:rPr>
        <w:t>As an individual, after you review the tool, please take some time to think about these questions. Then begin discussion of them with your group.</w:t>
      </w:r>
    </w:p>
    <w:p w14:paraId="5CCA3274" w14:textId="77777777" w:rsidR="00A16869" w:rsidRPr="00A16869" w:rsidRDefault="00A16869" w:rsidP="00A16869">
      <w:pPr>
        <w:tabs>
          <w:tab w:val="left" w:pos="90"/>
        </w:tabs>
        <w:spacing w:line="240" w:lineRule="auto"/>
        <w:ind w:left="576" w:hanging="288"/>
        <w:rPr>
          <w:rFonts w:asciiTheme="majorHAnsi" w:eastAsiaTheme="minorEastAsia" w:hAnsiTheme="majorHAnsi" w:cs="ITCAvantGardeStd-BkCn"/>
          <w:color w:val="000000"/>
        </w:rPr>
      </w:pPr>
      <w:r w:rsidRPr="00A16869">
        <w:rPr>
          <w:rFonts w:asciiTheme="majorHAnsi" w:eastAsiaTheme="minorEastAsia" w:hAnsiTheme="majorHAnsi" w:cs="ITCAvantGardeStd-BkCn"/>
          <w:color w:val="000000"/>
        </w:rPr>
        <w:t>1.</w:t>
      </w:r>
      <w:r w:rsidRPr="00A16869">
        <w:rPr>
          <w:rFonts w:asciiTheme="majorHAnsi" w:eastAsiaTheme="minorEastAsia" w:hAnsiTheme="majorHAnsi" w:cs="ITCAvantGardeStd-BkCn"/>
          <w:color w:val="000000"/>
        </w:rPr>
        <w:tab/>
        <w:t xml:space="preserve">What did you notice about the five key areas of focus (developing self-awareness, developing empathy, classroom climate, pedagogical choices, and leveraging networks)? </w:t>
      </w:r>
    </w:p>
    <w:p w14:paraId="53FE7BC8" w14:textId="77777777" w:rsidR="00A16869" w:rsidRPr="00A16869" w:rsidRDefault="00A16869" w:rsidP="00A16869">
      <w:pPr>
        <w:tabs>
          <w:tab w:val="left" w:pos="90"/>
        </w:tabs>
        <w:spacing w:line="240" w:lineRule="auto"/>
        <w:ind w:left="576" w:hanging="288"/>
        <w:rPr>
          <w:rFonts w:asciiTheme="majorHAnsi" w:eastAsiaTheme="minorEastAsia" w:hAnsiTheme="majorHAnsi" w:cs="ITCAvantGardeStd-BkCn"/>
          <w:color w:val="000000"/>
        </w:rPr>
      </w:pPr>
      <w:r w:rsidRPr="00A16869">
        <w:rPr>
          <w:rFonts w:asciiTheme="majorHAnsi" w:eastAsiaTheme="minorEastAsia" w:hAnsiTheme="majorHAnsi" w:cs="ITCAvantGardeStd-BkCn"/>
          <w:color w:val="000000"/>
        </w:rPr>
        <w:t>2.</w:t>
      </w:r>
      <w:r w:rsidRPr="00A16869">
        <w:rPr>
          <w:rFonts w:asciiTheme="majorHAnsi" w:eastAsiaTheme="minorEastAsia" w:hAnsiTheme="majorHAnsi" w:cs="ITCAvantGardeStd-BkCn"/>
          <w:color w:val="000000"/>
        </w:rPr>
        <w:tab/>
        <w:t>How can your team and your college PLH use this tool to support faculty in assessing their own attitudes and approaches and implementing evidence-based inclusive teaching practices?</w:t>
      </w:r>
    </w:p>
    <w:p w14:paraId="64DF9A38" w14:textId="77777777" w:rsidR="00A16869" w:rsidRPr="00A16869" w:rsidRDefault="00A16869" w:rsidP="00A16869">
      <w:pPr>
        <w:tabs>
          <w:tab w:val="left" w:pos="90"/>
        </w:tabs>
        <w:spacing w:line="240" w:lineRule="auto"/>
        <w:ind w:left="576" w:hanging="288"/>
        <w:rPr>
          <w:rFonts w:asciiTheme="majorHAnsi" w:eastAsiaTheme="minorEastAsia" w:hAnsiTheme="majorHAnsi" w:cs="ITCAvantGardeStd-BkCn"/>
          <w:color w:val="000000"/>
        </w:rPr>
      </w:pPr>
      <w:r w:rsidRPr="00A16869">
        <w:rPr>
          <w:rFonts w:asciiTheme="majorHAnsi" w:eastAsiaTheme="minorEastAsia" w:hAnsiTheme="majorHAnsi" w:cs="ITCAvantGardeStd-BkCn"/>
          <w:color w:val="000000"/>
        </w:rPr>
        <w:t>3.</w:t>
      </w:r>
      <w:r w:rsidRPr="00A16869">
        <w:rPr>
          <w:rFonts w:asciiTheme="majorHAnsi" w:eastAsiaTheme="minorEastAsia" w:hAnsiTheme="majorHAnsi" w:cs="ITCAvantGardeStd-BkCn"/>
          <w:color w:val="000000"/>
        </w:rPr>
        <w:tab/>
        <w:t>How might your college community leverage these approaches in campus-wide discussions of Black Lives Matter and issues of equity and social justice?</w:t>
      </w:r>
    </w:p>
    <w:p w14:paraId="712C4C21" w14:textId="77777777" w:rsidR="00A16869" w:rsidRPr="00A16869" w:rsidRDefault="00A16869" w:rsidP="00A16869">
      <w:pPr>
        <w:tabs>
          <w:tab w:val="left" w:pos="90"/>
        </w:tabs>
        <w:spacing w:line="240" w:lineRule="auto"/>
        <w:ind w:left="-270"/>
        <w:rPr>
          <w:rFonts w:asciiTheme="majorHAnsi" w:eastAsiaTheme="minorEastAsia" w:hAnsiTheme="majorHAnsi" w:cs="ITCAvantGardeStd-BkCn"/>
          <w:b/>
          <w:bCs/>
          <w:color w:val="000000"/>
        </w:rPr>
      </w:pPr>
      <w:r w:rsidRPr="00A16869">
        <w:rPr>
          <w:rFonts w:asciiTheme="majorHAnsi" w:eastAsiaTheme="minorEastAsia" w:hAnsiTheme="majorHAnsi" w:cs="ITCAvantGardeStd-BkCn"/>
          <w:b/>
          <w:bCs/>
          <w:color w:val="000000"/>
        </w:rPr>
        <w:t>Professional Learning Support for Inclusive Pedagogy</w:t>
      </w:r>
    </w:p>
    <w:p w14:paraId="4B717C82" w14:textId="77777777" w:rsidR="00A16869" w:rsidRPr="00A16869" w:rsidRDefault="00A16869" w:rsidP="00A16869">
      <w:pPr>
        <w:tabs>
          <w:tab w:val="left" w:pos="90"/>
        </w:tabs>
        <w:spacing w:line="240" w:lineRule="auto"/>
        <w:ind w:left="-270"/>
        <w:rPr>
          <w:rFonts w:asciiTheme="majorHAnsi" w:eastAsiaTheme="minorEastAsia" w:hAnsiTheme="majorHAnsi" w:cs="ITCAvantGardeStd-BkCn"/>
          <w:color w:val="000000"/>
        </w:rPr>
      </w:pPr>
      <w:r w:rsidRPr="00A16869">
        <w:rPr>
          <w:rFonts w:asciiTheme="majorHAnsi" w:eastAsiaTheme="minorEastAsia" w:hAnsiTheme="majorHAnsi" w:cs="ITCAvantGardeStd-BkCn"/>
          <w:color w:val="000000"/>
        </w:rPr>
        <w:t xml:space="preserve">Individually and as a team, please take some time to review some of the web resources on equity and inclusive pedagogy in Sidebar Appendix.2. You may have other resources that you want to highlight. You may also want to revisit the discussion of inclusive pedagogy in Chapter 1. </w:t>
      </w:r>
    </w:p>
    <w:p w14:paraId="5BC25E11" w14:textId="77777777" w:rsidR="00A16869" w:rsidRPr="00A16869" w:rsidRDefault="00A16869" w:rsidP="00A16869">
      <w:pPr>
        <w:tabs>
          <w:tab w:val="left" w:pos="90"/>
        </w:tabs>
        <w:spacing w:line="240" w:lineRule="auto"/>
        <w:ind w:left="576" w:hanging="288"/>
        <w:rPr>
          <w:rFonts w:asciiTheme="majorHAnsi" w:eastAsiaTheme="minorEastAsia" w:hAnsiTheme="majorHAnsi" w:cs="ITCAvantGardeStd-BkCn"/>
          <w:color w:val="000000"/>
        </w:rPr>
      </w:pPr>
      <w:r w:rsidRPr="00A16869">
        <w:rPr>
          <w:rFonts w:asciiTheme="majorHAnsi" w:eastAsiaTheme="minorEastAsia" w:hAnsiTheme="majorHAnsi" w:cs="ITCAvantGardeStd-BkCn"/>
          <w:color w:val="000000"/>
        </w:rPr>
        <w:t>1.</w:t>
      </w:r>
      <w:r w:rsidRPr="00A16869">
        <w:rPr>
          <w:rFonts w:asciiTheme="majorHAnsi" w:eastAsiaTheme="minorEastAsia" w:hAnsiTheme="majorHAnsi" w:cs="ITCAvantGardeStd-BkCn"/>
          <w:color w:val="000000"/>
        </w:rPr>
        <w:tab/>
        <w:t>Which of the Sidebar Appendix.2 resources seem like they would be particularly helpful to educators on your campus? Why? What ideas seem particularly relevant and helpful?</w:t>
      </w:r>
    </w:p>
    <w:p w14:paraId="4A9FA005" w14:textId="77777777" w:rsidR="00A16869" w:rsidRPr="00A16869" w:rsidRDefault="00A16869" w:rsidP="00A16869">
      <w:pPr>
        <w:tabs>
          <w:tab w:val="left" w:pos="90"/>
        </w:tabs>
        <w:spacing w:line="240" w:lineRule="auto"/>
        <w:ind w:left="576" w:hanging="288"/>
        <w:rPr>
          <w:rFonts w:asciiTheme="majorHAnsi" w:eastAsiaTheme="minorEastAsia" w:hAnsiTheme="majorHAnsi" w:cs="ITCAvantGardeStd-BkCn"/>
          <w:color w:val="000000"/>
        </w:rPr>
      </w:pPr>
      <w:r w:rsidRPr="00A16869">
        <w:rPr>
          <w:rFonts w:asciiTheme="majorHAnsi" w:eastAsiaTheme="minorEastAsia" w:hAnsiTheme="majorHAnsi" w:cs="ITCAvantGardeStd-BkCn"/>
          <w:color w:val="000000"/>
        </w:rPr>
        <w:t>2.</w:t>
      </w:r>
      <w:r w:rsidRPr="00A16869">
        <w:rPr>
          <w:rFonts w:asciiTheme="majorHAnsi" w:eastAsiaTheme="minorEastAsia" w:hAnsiTheme="majorHAnsi" w:cs="ITCAvantGardeStd-BkCn"/>
          <w:color w:val="000000"/>
        </w:rPr>
        <w:tab/>
        <w:t>How could you best engage colleagues and support the spread of inclusive pedagogy on your campus? What venues could you create or use to advance this conversation?</w:t>
      </w:r>
    </w:p>
    <w:p w14:paraId="68CAC498" w14:textId="77777777" w:rsidR="00A16869" w:rsidRPr="00A16869" w:rsidRDefault="00A16869" w:rsidP="00A16869">
      <w:pPr>
        <w:tabs>
          <w:tab w:val="left" w:pos="90"/>
        </w:tabs>
        <w:spacing w:line="240" w:lineRule="auto"/>
        <w:ind w:left="576" w:hanging="288"/>
        <w:rPr>
          <w:rFonts w:asciiTheme="majorHAnsi" w:eastAsiaTheme="minorEastAsia" w:hAnsiTheme="majorHAnsi" w:cs="ITCAvantGardeStd-BkCn"/>
          <w:color w:val="000000"/>
        </w:rPr>
      </w:pPr>
      <w:r w:rsidRPr="00A16869">
        <w:rPr>
          <w:rFonts w:asciiTheme="majorHAnsi" w:eastAsiaTheme="minorEastAsia" w:hAnsiTheme="majorHAnsi" w:cs="ITCAvantGardeStd-BkCn"/>
          <w:color w:val="000000"/>
        </w:rPr>
        <w:t>3.</w:t>
      </w:r>
      <w:r w:rsidRPr="00A16869">
        <w:rPr>
          <w:rFonts w:asciiTheme="majorHAnsi" w:eastAsiaTheme="minorEastAsia" w:hAnsiTheme="majorHAnsi" w:cs="ITCAvantGardeStd-BkCn"/>
          <w:color w:val="000000"/>
        </w:rPr>
        <w:tab/>
        <w:t>How could your team spur or support professional learning on issues of equity and inclusive pedagogy? What kinds of professional learning would be helpful to different groups of faculty and staff? What can the college do to meet this need?</w:t>
      </w:r>
    </w:p>
    <w:p w14:paraId="45E4E0D2" w14:textId="77777777" w:rsidR="00A16869" w:rsidRPr="00A16869" w:rsidRDefault="00A16869" w:rsidP="00A16869">
      <w:pPr>
        <w:tabs>
          <w:tab w:val="left" w:pos="90"/>
        </w:tabs>
        <w:spacing w:line="240" w:lineRule="auto"/>
        <w:ind w:left="576" w:hanging="288"/>
        <w:rPr>
          <w:rFonts w:asciiTheme="majorHAnsi" w:eastAsiaTheme="minorEastAsia" w:hAnsiTheme="majorHAnsi" w:cs="ITCAvantGardeStd-BkCn"/>
          <w:color w:val="000000"/>
        </w:rPr>
      </w:pPr>
      <w:r w:rsidRPr="00A16869">
        <w:rPr>
          <w:rFonts w:asciiTheme="majorHAnsi" w:eastAsiaTheme="minorEastAsia" w:hAnsiTheme="majorHAnsi" w:cs="ITCAvantGardeStd-BkCn"/>
          <w:color w:val="000000"/>
        </w:rPr>
        <w:t>4.</w:t>
      </w:r>
      <w:r w:rsidRPr="00A16869">
        <w:rPr>
          <w:rFonts w:asciiTheme="majorHAnsi" w:eastAsiaTheme="minorEastAsia" w:hAnsiTheme="majorHAnsi" w:cs="ITCAvantGardeStd-BkCn"/>
          <w:color w:val="000000"/>
        </w:rPr>
        <w:tab/>
        <w:t xml:space="preserve">How can you draw on the </w:t>
      </w:r>
      <w:r w:rsidRPr="00A16869">
        <w:rPr>
          <w:rFonts w:asciiTheme="majorHAnsi" w:eastAsiaTheme="minorEastAsia" w:hAnsiTheme="majorHAnsi" w:cs="ITCAvantGardeStd-BkCn"/>
          <w:i/>
          <w:iCs/>
          <w:color w:val="000000"/>
        </w:rPr>
        <w:t>NLC Framework’s</w:t>
      </w:r>
      <w:r w:rsidRPr="00A16869">
        <w:rPr>
          <w:rFonts w:asciiTheme="majorHAnsi" w:eastAsiaTheme="minorEastAsia" w:hAnsiTheme="majorHAnsi" w:cs="ITCAvantGardeStd-BkCn"/>
          <w:color w:val="000000"/>
        </w:rPr>
        <w:t xml:space="preserve"> Good Practice Principles for High-Impact Professional Learning in designing and offering high impact professional development in this area? For example:</w:t>
      </w:r>
    </w:p>
    <w:p w14:paraId="7891BDD0" w14:textId="77777777" w:rsidR="00A16869" w:rsidRPr="00A16869" w:rsidRDefault="00A16869" w:rsidP="00A16869">
      <w:pPr>
        <w:tabs>
          <w:tab w:val="left" w:pos="90"/>
        </w:tabs>
        <w:spacing w:line="240" w:lineRule="auto"/>
        <w:ind w:left="864" w:hanging="288"/>
        <w:rPr>
          <w:rFonts w:asciiTheme="majorHAnsi" w:eastAsiaTheme="minorEastAsia" w:hAnsiTheme="majorHAnsi" w:cs="ITCAvantGardeStd-BkCn"/>
          <w:color w:val="000000"/>
        </w:rPr>
      </w:pPr>
      <w:r w:rsidRPr="00A16869">
        <w:rPr>
          <w:rFonts w:asciiTheme="majorHAnsi" w:eastAsiaTheme="minorEastAsia" w:hAnsiTheme="majorHAnsi" w:cs="ITCAvantGardeStd-BkCn"/>
          <w:color w:val="000000"/>
        </w:rPr>
        <w:lastRenderedPageBreak/>
        <w:t>- How can you draw on the existing expertise of faculty and staff? What resources of expertise can you leverage? Who could provide leadership?</w:t>
      </w:r>
      <w:r w:rsidRPr="00A16869">
        <w:rPr>
          <w:rFonts w:asciiTheme="majorHAnsi" w:eastAsiaTheme="minorEastAsia" w:hAnsiTheme="majorHAnsi" w:cs="ITCAvantGardeStd-BkCn"/>
          <w:i/>
          <w:iCs/>
          <w:color w:val="000000"/>
        </w:rPr>
        <w:t xml:space="preserve"> (GPP #1)</w:t>
      </w:r>
    </w:p>
    <w:p w14:paraId="0A2BD97D" w14:textId="77777777" w:rsidR="00A16869" w:rsidRPr="00A16869" w:rsidRDefault="00A16869" w:rsidP="00A16869">
      <w:pPr>
        <w:tabs>
          <w:tab w:val="left" w:pos="90"/>
        </w:tabs>
        <w:spacing w:line="240" w:lineRule="auto"/>
        <w:ind w:left="864" w:hanging="288"/>
        <w:rPr>
          <w:rFonts w:asciiTheme="majorHAnsi" w:eastAsiaTheme="minorEastAsia" w:hAnsiTheme="majorHAnsi" w:cs="ITCAvantGardeStd-BkCn"/>
          <w:color w:val="000000"/>
        </w:rPr>
      </w:pPr>
      <w:r w:rsidRPr="00A16869">
        <w:rPr>
          <w:rFonts w:asciiTheme="majorHAnsi" w:eastAsiaTheme="minorEastAsia" w:hAnsiTheme="majorHAnsi" w:cs="ITCAvantGardeStd-BkCn"/>
          <w:color w:val="000000"/>
        </w:rPr>
        <w:t xml:space="preserve">- How can you offer occasions for support, reflection, and ongoing learning as the semester unfolds? </w:t>
      </w:r>
      <w:r w:rsidRPr="00A16869">
        <w:rPr>
          <w:rFonts w:asciiTheme="majorHAnsi" w:eastAsiaTheme="minorEastAsia" w:hAnsiTheme="majorHAnsi" w:cs="ITCAvantGardeStd-BkCn"/>
          <w:i/>
          <w:iCs/>
          <w:color w:val="000000"/>
        </w:rPr>
        <w:t>(GPP #3)</w:t>
      </w:r>
    </w:p>
    <w:p w14:paraId="4F434CE0" w14:textId="77777777" w:rsidR="00A16869" w:rsidRPr="00A16869" w:rsidRDefault="00A16869" w:rsidP="00A16869">
      <w:pPr>
        <w:tabs>
          <w:tab w:val="left" w:pos="90"/>
        </w:tabs>
        <w:spacing w:line="240" w:lineRule="auto"/>
        <w:ind w:left="864" w:hanging="288"/>
        <w:rPr>
          <w:rFonts w:asciiTheme="majorHAnsi" w:eastAsiaTheme="minorEastAsia" w:hAnsiTheme="majorHAnsi" w:cs="ITCAvantGardeStd-BkCn"/>
          <w:color w:val="000000"/>
        </w:rPr>
      </w:pPr>
      <w:r w:rsidRPr="00A16869">
        <w:rPr>
          <w:rFonts w:asciiTheme="majorHAnsi" w:eastAsiaTheme="minorEastAsia" w:hAnsiTheme="majorHAnsi" w:cs="ITCAvantGardeStd-BkCn"/>
          <w:color w:val="000000"/>
        </w:rPr>
        <w:t xml:space="preserve">- What structures would mobilize the power of group learning and exchange? How can you make this conversation most productive? </w:t>
      </w:r>
      <w:r w:rsidRPr="00A16869">
        <w:rPr>
          <w:rFonts w:asciiTheme="majorHAnsi" w:eastAsiaTheme="minorEastAsia" w:hAnsiTheme="majorHAnsi" w:cs="ITCAvantGardeStd-BkCn"/>
          <w:i/>
          <w:iCs/>
          <w:color w:val="000000"/>
        </w:rPr>
        <w:t>(GPP #5)</w:t>
      </w:r>
    </w:p>
    <w:p w14:paraId="63E91D9E" w14:textId="77777777" w:rsidR="00A16869" w:rsidRPr="00A16869" w:rsidRDefault="00A16869" w:rsidP="00A16869">
      <w:pPr>
        <w:tabs>
          <w:tab w:val="left" w:pos="90"/>
        </w:tabs>
        <w:spacing w:line="240" w:lineRule="auto"/>
        <w:ind w:left="864" w:hanging="288"/>
        <w:rPr>
          <w:rFonts w:asciiTheme="majorHAnsi" w:eastAsiaTheme="minorEastAsia" w:hAnsiTheme="majorHAnsi" w:cs="ITCAvantGardeStd-BkCn"/>
          <w:color w:val="000000"/>
        </w:rPr>
      </w:pPr>
      <w:r w:rsidRPr="00A16869">
        <w:rPr>
          <w:rFonts w:asciiTheme="majorHAnsi" w:eastAsiaTheme="minorEastAsia" w:hAnsiTheme="majorHAnsi" w:cs="ITCAvantGardeStd-BkCn"/>
          <w:color w:val="000000"/>
        </w:rPr>
        <w:t xml:space="preserve">- What can you do to engage all faculty, full- and part-time? Student Affairs educators? </w:t>
      </w:r>
      <w:r w:rsidRPr="00A16869">
        <w:rPr>
          <w:rFonts w:asciiTheme="majorHAnsi" w:eastAsiaTheme="minorEastAsia" w:hAnsiTheme="majorHAnsi" w:cs="ITCAvantGardeStd-BkCn"/>
          <w:i/>
          <w:iCs/>
          <w:color w:val="000000"/>
        </w:rPr>
        <w:t>(GPP #6 and 7)</w:t>
      </w:r>
    </w:p>
    <w:p w14:paraId="012213FD" w14:textId="77777777" w:rsidR="00A16869" w:rsidRPr="00A16869" w:rsidRDefault="00A16869" w:rsidP="00A16869">
      <w:pPr>
        <w:tabs>
          <w:tab w:val="left" w:pos="90"/>
        </w:tabs>
        <w:spacing w:line="240" w:lineRule="auto"/>
        <w:ind w:left="864" w:hanging="288"/>
        <w:rPr>
          <w:rFonts w:asciiTheme="majorHAnsi" w:eastAsiaTheme="minorEastAsia" w:hAnsiTheme="majorHAnsi" w:cs="ITCAvantGardeStd-BkCn"/>
          <w:color w:val="000000"/>
        </w:rPr>
      </w:pPr>
      <w:r w:rsidRPr="00A16869">
        <w:rPr>
          <w:rFonts w:asciiTheme="majorHAnsi" w:eastAsiaTheme="minorEastAsia" w:hAnsiTheme="majorHAnsi" w:cs="ITCAvantGardeStd-BkCn"/>
          <w:color w:val="000000"/>
        </w:rPr>
        <w:t xml:space="preserve">- What productive role could students play in this process? How could you make students partners in this effort, and make sure that their voices are heard? </w:t>
      </w:r>
      <w:r w:rsidRPr="00A16869">
        <w:rPr>
          <w:rFonts w:asciiTheme="majorHAnsi" w:eastAsiaTheme="minorEastAsia" w:hAnsiTheme="majorHAnsi" w:cs="ITCAvantGardeStd-BkCn"/>
          <w:i/>
          <w:iCs/>
          <w:color w:val="000000"/>
        </w:rPr>
        <w:t>(GPP #8)</w:t>
      </w:r>
    </w:p>
    <w:p w14:paraId="13657F5E" w14:textId="77777777" w:rsidR="00A16869" w:rsidRPr="00A16869" w:rsidRDefault="00A16869" w:rsidP="00A16869">
      <w:pPr>
        <w:tabs>
          <w:tab w:val="left" w:pos="90"/>
        </w:tabs>
        <w:spacing w:line="240" w:lineRule="auto"/>
        <w:ind w:left="-270"/>
        <w:rPr>
          <w:rFonts w:asciiTheme="majorHAnsi" w:eastAsiaTheme="minorEastAsia" w:hAnsiTheme="majorHAnsi" w:cs="ITCAvantGardeStd-BkCn"/>
          <w:color w:val="000000"/>
        </w:rPr>
      </w:pPr>
      <w:r w:rsidRPr="00A16869">
        <w:rPr>
          <w:rFonts w:asciiTheme="majorHAnsi" w:eastAsiaTheme="minorEastAsia" w:hAnsiTheme="majorHAnsi" w:cs="ITCAvantGardeStd-BkCn"/>
          <w:color w:val="000000"/>
        </w:rPr>
        <w:t>With these issues and ideas in mind, begin developing your plans. Think about what can be done in the short term and what might need more long-range planning and development. You might consider ways to infuse inclusive approaches into existing professional learning as well as the creation of new programs. We strongly encourage you to partner with your PLH and other campus leaders active on these topics.</w:t>
      </w:r>
    </w:p>
    <w:p w14:paraId="3B874BF1" w14:textId="77777777" w:rsidR="00A16869" w:rsidRDefault="00A16869">
      <w:pPr>
        <w:spacing w:after="0" w:line="240" w:lineRule="auto"/>
        <w:rPr>
          <w:rFonts w:asciiTheme="majorHAnsi" w:hAnsiTheme="majorHAnsi"/>
          <w:color w:val="FFFFFF" w:themeColor="background1"/>
          <w:position w:val="-40"/>
          <w:sz w:val="24"/>
          <w:szCs w:val="24"/>
        </w:rPr>
      </w:pPr>
      <w:r>
        <w:rPr>
          <w:rFonts w:asciiTheme="majorHAnsi" w:hAnsiTheme="majorHAnsi"/>
          <w:color w:val="FFFFFF" w:themeColor="background1"/>
          <w:position w:val="-40"/>
          <w:sz w:val="24"/>
          <w:szCs w:val="24"/>
        </w:rPr>
        <w:br w:type="page"/>
      </w:r>
    </w:p>
    <w:p w14:paraId="002B8C35" w14:textId="56EE9791" w:rsidR="00A16869" w:rsidRPr="00B85CD2" w:rsidRDefault="00A16869" w:rsidP="00A16869">
      <w:pPr>
        <w:spacing w:line="240" w:lineRule="auto"/>
        <w:ind w:left="-450" w:right="-90"/>
        <w:jc w:val="center"/>
        <w:rPr>
          <w:rFonts w:asciiTheme="majorHAnsi" w:hAnsiTheme="majorHAnsi"/>
          <w:color w:val="FFFFFF" w:themeColor="background1"/>
          <w:position w:val="-40"/>
          <w:sz w:val="24"/>
          <w:szCs w:val="24"/>
        </w:rPr>
      </w:pPr>
      <w:r w:rsidRPr="00B85CD2">
        <w:rPr>
          <w:rFonts w:asciiTheme="majorHAnsi" w:hAnsiTheme="majorHAnsi"/>
          <w:noProof/>
          <w:color w:val="FFFFFF" w:themeColor="background1"/>
          <w:position w:val="-40"/>
          <w:sz w:val="24"/>
          <w:szCs w:val="24"/>
        </w:rPr>
        <w:lastRenderedPageBreak/>
        <w:drawing>
          <wp:anchor distT="0" distB="0" distL="114300" distR="114300" simplePos="0" relativeHeight="251668480" behindDoc="1" locked="0" layoutInCell="1" allowOverlap="1" wp14:anchorId="753D41CB" wp14:editId="4A11F099">
            <wp:simplePos x="0" y="0"/>
            <wp:positionH relativeFrom="column">
              <wp:posOffset>-228600</wp:posOffset>
            </wp:positionH>
            <wp:positionV relativeFrom="paragraph">
              <wp:posOffset>3810</wp:posOffset>
            </wp:positionV>
            <wp:extent cx="5943600" cy="401744"/>
            <wp:effectExtent l="0" t="0" r="0" b="508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ksheet Header Graphic.png"/>
                    <pic:cNvPicPr/>
                  </pic:nvPicPr>
                  <pic:blipFill>
                    <a:blip r:embed="rId8">
                      <a:extLst>
                        <a:ext uri="{28A0092B-C50C-407E-A947-70E740481C1C}">
                          <a14:useLocalDpi xmlns:a14="http://schemas.microsoft.com/office/drawing/2010/main" val="0"/>
                        </a:ext>
                      </a:extLst>
                    </a:blip>
                    <a:stretch>
                      <a:fillRect/>
                    </a:stretch>
                  </pic:blipFill>
                  <pic:spPr>
                    <a:xfrm>
                      <a:off x="0" y="0"/>
                      <a:ext cx="5943600" cy="401744"/>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color w:val="FFFFFF" w:themeColor="background1"/>
          <w:position w:val="-40"/>
          <w:sz w:val="24"/>
          <w:szCs w:val="24"/>
        </w:rPr>
        <w:t>Worksheet Appendix.5</w:t>
      </w:r>
    </w:p>
    <w:p w14:paraId="288EEB98" w14:textId="77777777" w:rsidR="00A16869" w:rsidRPr="00A16869" w:rsidRDefault="00A16869" w:rsidP="00A16869">
      <w:pPr>
        <w:tabs>
          <w:tab w:val="left" w:pos="90"/>
        </w:tabs>
        <w:spacing w:before="240" w:line="240" w:lineRule="atLeast"/>
        <w:ind w:left="-274"/>
        <w:jc w:val="center"/>
        <w:rPr>
          <w:rFonts w:asciiTheme="majorHAnsi" w:hAnsiTheme="majorHAnsi"/>
          <w:b/>
          <w:color w:val="00836C"/>
          <w:sz w:val="36"/>
          <w:szCs w:val="36"/>
        </w:rPr>
      </w:pPr>
      <w:r w:rsidRPr="00A16869">
        <w:rPr>
          <w:rFonts w:asciiTheme="majorHAnsi" w:hAnsiTheme="majorHAnsi"/>
          <w:b/>
          <w:color w:val="00836C"/>
          <w:sz w:val="36"/>
          <w:szCs w:val="36"/>
        </w:rPr>
        <w:t>Adaptive Learning for a Fast-Changing World</w:t>
      </w:r>
    </w:p>
    <w:p w14:paraId="27104D9B" w14:textId="77777777" w:rsidR="00A16869" w:rsidRPr="00A16869" w:rsidRDefault="00A16869" w:rsidP="00A16869">
      <w:pPr>
        <w:tabs>
          <w:tab w:val="left" w:pos="90"/>
        </w:tabs>
        <w:spacing w:line="240" w:lineRule="auto"/>
        <w:ind w:left="-270"/>
        <w:rPr>
          <w:rFonts w:asciiTheme="majorHAnsi" w:eastAsiaTheme="minorEastAsia" w:hAnsiTheme="majorHAnsi" w:cs="ITCAvantGardeStd-BkCn"/>
          <w:color w:val="000000"/>
        </w:rPr>
      </w:pPr>
      <w:r w:rsidRPr="00A16869">
        <w:rPr>
          <w:rFonts w:asciiTheme="majorHAnsi" w:eastAsiaTheme="minorEastAsia" w:hAnsiTheme="majorHAnsi" w:cs="ITCAvantGardeStd-BkCn"/>
          <w:color w:val="000000"/>
        </w:rPr>
        <w:t xml:space="preserve">Appendix Worksheets 1–4 have guided your team to reflect on two issues that are especially top of mind today as we think about the 2020–21 academic year: the COVID-19 pandemic and racial equity. But the future is likely to bring additional, ongoing change for educators, institutions, and students. This final worksheet builds on your collective thinking and asks you to look ahead to your institution’s future. What will it look like to fulfill your potential as an adaptive learning organization? We encourage you to utilize the Good Practice Principles (especially those from Chapter 4 on the institutional and </w:t>
      </w:r>
      <w:proofErr w:type="spellStart"/>
      <w:r w:rsidRPr="00A16869">
        <w:rPr>
          <w:rFonts w:asciiTheme="majorHAnsi" w:eastAsiaTheme="minorEastAsia" w:hAnsiTheme="majorHAnsi" w:cs="ITCAvantGardeStd-BkCn"/>
          <w:color w:val="000000"/>
        </w:rPr>
        <w:t>ecosystemic</w:t>
      </w:r>
      <w:proofErr w:type="spellEnd"/>
      <w:r w:rsidRPr="00A16869">
        <w:rPr>
          <w:rFonts w:asciiTheme="majorHAnsi" w:eastAsiaTheme="minorEastAsia" w:hAnsiTheme="majorHAnsi" w:cs="ITCAvantGardeStd-BkCn"/>
          <w:color w:val="000000"/>
        </w:rPr>
        <w:t xml:space="preserve"> levels) as you respond to each of these questions.</w:t>
      </w:r>
    </w:p>
    <w:p w14:paraId="377DF3F9" w14:textId="77777777" w:rsidR="00A16869" w:rsidRPr="00A16869" w:rsidRDefault="00A16869" w:rsidP="00A16869">
      <w:pPr>
        <w:tabs>
          <w:tab w:val="left" w:pos="90"/>
        </w:tabs>
        <w:spacing w:line="240" w:lineRule="auto"/>
        <w:ind w:left="576" w:hanging="288"/>
        <w:rPr>
          <w:rFonts w:asciiTheme="majorHAnsi" w:eastAsiaTheme="minorEastAsia" w:hAnsiTheme="majorHAnsi" w:cs="ITCAvantGardeStd-BkCn"/>
          <w:color w:val="000000"/>
        </w:rPr>
      </w:pPr>
      <w:r w:rsidRPr="00A16869">
        <w:rPr>
          <w:rFonts w:asciiTheme="majorHAnsi" w:eastAsiaTheme="minorEastAsia" w:hAnsiTheme="majorHAnsi" w:cs="ITCAvantGardeStd-BkCn"/>
          <w:color w:val="000000"/>
        </w:rPr>
        <w:t>1.</w:t>
      </w:r>
      <w:r w:rsidRPr="00A16869">
        <w:rPr>
          <w:rFonts w:asciiTheme="majorHAnsi" w:eastAsiaTheme="minorEastAsia" w:hAnsiTheme="majorHAnsi" w:cs="ITCAvantGardeStd-BkCn"/>
          <w:color w:val="000000"/>
        </w:rPr>
        <w:tab/>
        <w:t>How do we help students become the adaptive learners, critical thinkers, and problem solvers that our society needs now and will continue to need in years to come?</w:t>
      </w:r>
    </w:p>
    <w:p w14:paraId="760567ED" w14:textId="77777777" w:rsidR="00A16869" w:rsidRPr="00A16869" w:rsidRDefault="00A16869" w:rsidP="00A16869">
      <w:pPr>
        <w:tabs>
          <w:tab w:val="left" w:pos="90"/>
        </w:tabs>
        <w:spacing w:line="240" w:lineRule="auto"/>
        <w:ind w:left="864" w:hanging="288"/>
        <w:rPr>
          <w:rFonts w:asciiTheme="majorHAnsi" w:eastAsiaTheme="minorEastAsia" w:hAnsiTheme="majorHAnsi" w:cs="ITCAvantGardeStd-BkCn"/>
          <w:color w:val="000000"/>
        </w:rPr>
      </w:pPr>
      <w:r w:rsidRPr="00A16869">
        <w:rPr>
          <w:rFonts w:asciiTheme="majorHAnsi" w:eastAsiaTheme="minorEastAsia" w:hAnsiTheme="majorHAnsi" w:cs="ITCAvantGardeStd-BkCn"/>
          <w:color w:val="000000"/>
        </w:rPr>
        <w:t>a. What are we doing well in this regard? Where are there gaps? What could we do better?</w:t>
      </w:r>
    </w:p>
    <w:p w14:paraId="4870F272" w14:textId="77777777" w:rsidR="00A16869" w:rsidRPr="00A16869" w:rsidRDefault="00A16869" w:rsidP="00A16869">
      <w:pPr>
        <w:tabs>
          <w:tab w:val="left" w:pos="90"/>
        </w:tabs>
        <w:spacing w:line="240" w:lineRule="auto"/>
        <w:ind w:left="864" w:hanging="288"/>
        <w:rPr>
          <w:rFonts w:asciiTheme="majorHAnsi" w:eastAsiaTheme="minorEastAsia" w:hAnsiTheme="majorHAnsi" w:cs="ITCAvantGardeStd-BkCn"/>
          <w:color w:val="000000"/>
        </w:rPr>
      </w:pPr>
      <w:r w:rsidRPr="00A16869">
        <w:rPr>
          <w:rFonts w:asciiTheme="majorHAnsi" w:eastAsiaTheme="minorEastAsia" w:hAnsiTheme="majorHAnsi" w:cs="ITCAvantGardeStd-BkCn"/>
          <w:color w:val="000000"/>
        </w:rPr>
        <w:t>b. What changes to our pedagogy, curriculum, and assessment could facilitate this? How could we advance those changes?</w:t>
      </w:r>
      <w:r w:rsidRPr="00A16869">
        <w:rPr>
          <w:rFonts w:asciiTheme="majorHAnsi" w:eastAsiaTheme="minorEastAsia" w:hAnsiTheme="majorHAnsi" w:cs="ITCAvantGardeStd-BkCn"/>
          <w:i/>
          <w:iCs/>
          <w:color w:val="000000"/>
        </w:rPr>
        <w:t xml:space="preserve"> (GPP #9)</w:t>
      </w:r>
    </w:p>
    <w:p w14:paraId="3011E94A" w14:textId="77777777" w:rsidR="00A16869" w:rsidRPr="00A16869" w:rsidRDefault="00A16869" w:rsidP="00A16869">
      <w:pPr>
        <w:tabs>
          <w:tab w:val="left" w:pos="90"/>
        </w:tabs>
        <w:spacing w:line="240" w:lineRule="auto"/>
        <w:ind w:left="576" w:hanging="288"/>
        <w:rPr>
          <w:rFonts w:asciiTheme="majorHAnsi" w:eastAsiaTheme="minorEastAsia" w:hAnsiTheme="majorHAnsi" w:cs="ITCAvantGardeStd-BkCn"/>
          <w:color w:val="000000"/>
        </w:rPr>
      </w:pPr>
      <w:r w:rsidRPr="00A16869">
        <w:rPr>
          <w:rFonts w:asciiTheme="majorHAnsi" w:eastAsiaTheme="minorEastAsia" w:hAnsiTheme="majorHAnsi" w:cs="ITCAvantGardeStd-BkCn"/>
          <w:color w:val="000000"/>
        </w:rPr>
        <w:t>2.</w:t>
      </w:r>
      <w:r w:rsidRPr="00A16869">
        <w:rPr>
          <w:rFonts w:asciiTheme="majorHAnsi" w:eastAsiaTheme="minorEastAsia" w:hAnsiTheme="majorHAnsi" w:cs="ITCAvantGardeStd-BkCn"/>
          <w:color w:val="000000"/>
        </w:rPr>
        <w:tab/>
        <w:t xml:space="preserve">How can we build a learning culture that uses professional learning to support faculty and staff as they, in turn, become more adaptive educators and leaders, adjusting to new realities and priorities? </w:t>
      </w:r>
      <w:r w:rsidRPr="00A16869">
        <w:rPr>
          <w:rFonts w:asciiTheme="majorHAnsi" w:eastAsiaTheme="minorEastAsia" w:hAnsiTheme="majorHAnsi" w:cs="ITCAvantGardeStd-BkCn"/>
          <w:i/>
          <w:iCs/>
          <w:color w:val="000000"/>
        </w:rPr>
        <w:t>(GPP #12)</w:t>
      </w:r>
    </w:p>
    <w:p w14:paraId="3A2F889C" w14:textId="77777777" w:rsidR="00A16869" w:rsidRPr="00A16869" w:rsidRDefault="00A16869" w:rsidP="00A16869">
      <w:pPr>
        <w:tabs>
          <w:tab w:val="left" w:pos="90"/>
        </w:tabs>
        <w:spacing w:line="240" w:lineRule="auto"/>
        <w:ind w:left="576" w:hanging="288"/>
        <w:rPr>
          <w:rFonts w:asciiTheme="majorHAnsi" w:eastAsiaTheme="minorEastAsia" w:hAnsiTheme="majorHAnsi" w:cs="ITCAvantGardeStd-BkCn"/>
          <w:color w:val="000000"/>
        </w:rPr>
      </w:pPr>
      <w:r w:rsidRPr="00A16869">
        <w:rPr>
          <w:rFonts w:asciiTheme="majorHAnsi" w:eastAsiaTheme="minorEastAsia" w:hAnsiTheme="majorHAnsi" w:cs="ITCAvantGardeStd-BkCn"/>
          <w:color w:val="000000"/>
        </w:rPr>
        <w:t>3.</w:t>
      </w:r>
      <w:r w:rsidRPr="00A16869">
        <w:rPr>
          <w:rFonts w:asciiTheme="majorHAnsi" w:eastAsiaTheme="minorEastAsia" w:hAnsiTheme="majorHAnsi" w:cs="ITCAvantGardeStd-BkCn"/>
          <w:color w:val="000000"/>
        </w:rPr>
        <w:tab/>
        <w:t xml:space="preserve">What kinds of institutional support will be necessary to help educators adapt to a future of ongoing change? What partnerships could be cultivated to support this work? </w:t>
      </w:r>
      <w:r w:rsidRPr="00A16869">
        <w:rPr>
          <w:rFonts w:asciiTheme="majorHAnsi" w:eastAsiaTheme="minorEastAsia" w:hAnsiTheme="majorHAnsi" w:cs="ITCAvantGardeStd-BkCn"/>
          <w:i/>
          <w:iCs/>
          <w:color w:val="000000"/>
        </w:rPr>
        <w:t>(GPP #11 and 13)</w:t>
      </w:r>
    </w:p>
    <w:p w14:paraId="4C98A283" w14:textId="77777777" w:rsidR="00A16869" w:rsidRPr="00A16869" w:rsidRDefault="00A16869" w:rsidP="00A16869">
      <w:pPr>
        <w:tabs>
          <w:tab w:val="left" w:pos="90"/>
        </w:tabs>
        <w:spacing w:line="240" w:lineRule="auto"/>
        <w:ind w:left="576" w:hanging="288"/>
        <w:rPr>
          <w:rFonts w:asciiTheme="majorHAnsi" w:eastAsiaTheme="minorEastAsia" w:hAnsiTheme="majorHAnsi" w:cs="ITCAvantGardeStd-BkCn"/>
          <w:color w:val="000000"/>
        </w:rPr>
      </w:pPr>
      <w:r w:rsidRPr="00A16869">
        <w:rPr>
          <w:rFonts w:asciiTheme="majorHAnsi" w:eastAsiaTheme="minorEastAsia" w:hAnsiTheme="majorHAnsi" w:cs="ITCAvantGardeStd-BkCn"/>
          <w:color w:val="000000"/>
        </w:rPr>
        <w:t>4.</w:t>
      </w:r>
      <w:r w:rsidRPr="00A16869">
        <w:rPr>
          <w:rFonts w:asciiTheme="majorHAnsi" w:eastAsiaTheme="minorEastAsia" w:hAnsiTheme="majorHAnsi" w:cs="ITCAvantGardeStd-BkCn"/>
          <w:color w:val="000000"/>
        </w:rPr>
        <w:tab/>
        <w:t xml:space="preserve">Finally, how can we use professional learning to help our institution address the present moment and build adaptive capacity for the future? What would it look like for our college to grow as an adaptive learning organization, becoming more nimble and agile and developing informed responses to change? </w:t>
      </w:r>
      <w:r w:rsidRPr="00A16869">
        <w:rPr>
          <w:rFonts w:asciiTheme="majorHAnsi" w:eastAsiaTheme="minorEastAsia" w:hAnsiTheme="majorHAnsi" w:cs="ITCAvantGardeStd-BkCn"/>
          <w:i/>
          <w:iCs/>
          <w:color w:val="000000"/>
        </w:rPr>
        <w:t>(GPP #10 and 12)</w:t>
      </w:r>
    </w:p>
    <w:p w14:paraId="654ABE73" w14:textId="77777777" w:rsidR="00A16869" w:rsidRPr="00CD1817" w:rsidRDefault="00A16869" w:rsidP="00A16869">
      <w:pPr>
        <w:tabs>
          <w:tab w:val="left" w:pos="90"/>
        </w:tabs>
        <w:spacing w:line="240" w:lineRule="auto"/>
        <w:ind w:left="576" w:hanging="288"/>
      </w:pPr>
    </w:p>
    <w:sectPr w:rsidR="00A16869" w:rsidRPr="00CD1817" w:rsidSect="00D17575">
      <w:headerReference w:type="even" r:id="rId9"/>
      <w:headerReference w:type="default" r:id="rId10"/>
      <w:footerReference w:type="even" r:id="rId11"/>
      <w:footerReference w:type="default" r:id="rId12"/>
      <w:pgSz w:w="12240" w:h="15840"/>
      <w:pgMar w:top="900" w:right="1530" w:bottom="1440" w:left="1800" w:header="270" w:footer="45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EC82B0" w14:textId="77777777" w:rsidR="00896166" w:rsidRDefault="00896166" w:rsidP="00260918">
      <w:pPr>
        <w:spacing w:after="0" w:line="240" w:lineRule="auto"/>
      </w:pPr>
      <w:r>
        <w:separator/>
      </w:r>
    </w:p>
  </w:endnote>
  <w:endnote w:type="continuationSeparator" w:id="0">
    <w:p w14:paraId="14E27B94" w14:textId="77777777" w:rsidR="00896166" w:rsidRDefault="00896166" w:rsidP="002609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ITCAvantGardeStd-BkCn">
    <w:altName w:val="Calibri"/>
    <w:panose1 w:val="020B0604020202020204"/>
    <w:charset w:val="4D"/>
    <w:family w:val="auto"/>
    <w:notTrueType/>
    <w:pitch w:val="default"/>
    <w:sig w:usb0="00000003" w:usb1="00000000" w:usb2="00000000" w:usb3="00000000" w:csb0="00000001" w:csb1="00000000"/>
  </w:font>
  <w:font w:name="ITCAvantGardeStd-DemiCn">
    <w:altName w:val="Calibri"/>
    <w:panose1 w:val="020B0604020202020204"/>
    <w:charset w:val="4D"/>
    <w:family w:val="auto"/>
    <w:notTrueType/>
    <w:pitch w:val="default"/>
    <w:sig w:usb0="00000003" w:usb1="00000000" w:usb2="00000000" w:usb3="00000000" w:csb0="00000001" w:csb1="00000000"/>
  </w:font>
  <w:font w:name="ITCAvantGardeStd-BkCnObl">
    <w:altName w:val="Calibri"/>
    <w:panose1 w:val="020B0604020202020204"/>
    <w:charset w:val="4D"/>
    <w:family w:val="auto"/>
    <w:notTrueType/>
    <w:pitch w:val="default"/>
    <w:sig w:usb0="00000003" w:usb1="00000000" w:usb2="00000000" w:usb3="00000000" w:csb0="00000001" w:csb1="00000000"/>
  </w:font>
  <w:font w:name="Times">
    <w:panose1 w:val="00000500000000020000"/>
    <w:charset w:val="00"/>
    <w:family w:val="auto"/>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EA3EFE" w14:textId="0209E6DF" w:rsidR="00AF191F" w:rsidRDefault="00896166">
    <w:pPr>
      <w:pStyle w:val="Footer"/>
    </w:pPr>
    <w:sdt>
      <w:sdtPr>
        <w:id w:val="751014388"/>
        <w:temporary/>
        <w:showingPlcHdr/>
      </w:sdtPr>
      <w:sdtEndPr/>
      <w:sdtContent>
        <w:r w:rsidR="00AF191F">
          <w:t>[Type text]</w:t>
        </w:r>
      </w:sdtContent>
    </w:sdt>
    <w:r w:rsidR="00AF191F">
      <w:ptab w:relativeTo="margin" w:alignment="center" w:leader="none"/>
    </w:r>
    <w:sdt>
      <w:sdtPr>
        <w:id w:val="-1901893304"/>
        <w:temporary/>
        <w:showingPlcHdr/>
      </w:sdtPr>
      <w:sdtEndPr/>
      <w:sdtContent>
        <w:r w:rsidR="00AF191F">
          <w:t>[Type text]</w:t>
        </w:r>
      </w:sdtContent>
    </w:sdt>
    <w:r w:rsidR="00AF191F">
      <w:ptab w:relativeTo="margin" w:alignment="right" w:leader="none"/>
    </w:r>
    <w:sdt>
      <w:sdtPr>
        <w:id w:val="1004785262"/>
        <w:temporary/>
        <w:showingPlcHdr/>
      </w:sdtPr>
      <w:sdtEndPr/>
      <w:sdtContent>
        <w:r w:rsidR="00AF191F">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09935F" w14:textId="77777777" w:rsidR="00AF191F" w:rsidRDefault="00AF191F" w:rsidP="00260918">
    <w:pPr>
      <w:spacing w:after="0" w:line="240" w:lineRule="auto"/>
      <w:jc w:val="center"/>
      <w:rPr>
        <w:rFonts w:ascii="Times" w:eastAsia="Times New Roman" w:hAnsi="Times" w:cs="Times New Roman"/>
      </w:rPr>
    </w:pPr>
  </w:p>
  <w:p w14:paraId="324CD435" w14:textId="2D665315" w:rsidR="00AF191F" w:rsidRPr="00260918" w:rsidRDefault="00AF191F" w:rsidP="00260918">
    <w:pPr>
      <w:spacing w:after="0" w:line="240" w:lineRule="auto"/>
      <w:jc w:val="center"/>
      <w:rPr>
        <w:rFonts w:ascii="Times" w:eastAsia="Times New Roman" w:hAnsi="Times" w:cs="Times New Roman"/>
      </w:rPr>
    </w:pPr>
    <w:r>
      <w:rPr>
        <w:noProof/>
      </w:rPr>
      <w:drawing>
        <wp:inline distT="0" distB="0" distL="0" distR="0" wp14:anchorId="498E232C" wp14:editId="6CE820F4">
          <wp:extent cx="1705638" cy="554908"/>
          <wp:effectExtent l="0" t="0" r="0"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D-HSig-NT-3288G-hires.jpg"/>
                  <pic:cNvPicPr/>
                </pic:nvPicPr>
                <pic:blipFill>
                  <a:blip r:embed="rId1">
                    <a:extLst>
                      <a:ext uri="{28A0092B-C50C-407E-A947-70E740481C1C}">
                        <a14:useLocalDpi xmlns:a14="http://schemas.microsoft.com/office/drawing/2010/main" val="0"/>
                      </a:ext>
                    </a:extLst>
                  </a:blip>
                  <a:stretch>
                    <a:fillRect/>
                  </a:stretch>
                </pic:blipFill>
                <pic:spPr>
                  <a:xfrm>
                    <a:off x="0" y="0"/>
                    <a:ext cx="1705638" cy="55490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37D7BF" w14:textId="77777777" w:rsidR="00896166" w:rsidRDefault="00896166" w:rsidP="00260918">
      <w:pPr>
        <w:spacing w:after="0" w:line="240" w:lineRule="auto"/>
      </w:pPr>
      <w:r>
        <w:separator/>
      </w:r>
    </w:p>
  </w:footnote>
  <w:footnote w:type="continuationSeparator" w:id="0">
    <w:p w14:paraId="787266ED" w14:textId="77777777" w:rsidR="00896166" w:rsidRDefault="00896166" w:rsidP="00260918">
      <w:pPr>
        <w:spacing w:after="0" w:line="240" w:lineRule="auto"/>
      </w:pPr>
      <w:r>
        <w:continuationSeparator/>
      </w:r>
    </w:p>
  </w:footnote>
  <w:footnote w:id="1">
    <w:p w14:paraId="72F603EE" w14:textId="04182903" w:rsidR="00AF191F" w:rsidRPr="00263D3F" w:rsidRDefault="00AF191F" w:rsidP="00695311">
      <w:pPr>
        <w:pStyle w:val="FootnoteText"/>
        <w:ind w:left="-90" w:hanging="180"/>
        <w:rPr>
          <w:rFonts w:asciiTheme="majorHAnsi" w:hAnsiTheme="majorHAnsi"/>
          <w:color w:val="00529B"/>
          <w:sz w:val="16"/>
          <w:szCs w:val="16"/>
          <w:u w:val="thick" w:color="00529B"/>
        </w:rPr>
      </w:pPr>
      <w:r w:rsidRPr="00112A85">
        <w:rPr>
          <w:rStyle w:val="FootnoteReference"/>
          <w:rFonts w:asciiTheme="majorHAnsi" w:hAnsiTheme="majorHAnsi"/>
          <w:sz w:val="16"/>
          <w:szCs w:val="16"/>
        </w:rPr>
        <w:footnoteRef/>
      </w:r>
      <w:r>
        <w:rPr>
          <w:rFonts w:asciiTheme="majorHAnsi" w:hAnsiTheme="majorHAnsi"/>
          <w:sz w:val="16"/>
          <w:szCs w:val="16"/>
        </w:rPr>
        <w:tab/>
      </w:r>
      <w:r w:rsidRPr="00263D3F">
        <w:rPr>
          <w:rFonts w:asciiTheme="majorHAnsi" w:hAnsiTheme="majorHAnsi"/>
          <w:sz w:val="16"/>
          <w:szCs w:val="16"/>
        </w:rPr>
        <w:t xml:space="preserve">Achieving the Dream. (2020, June 11). </w:t>
      </w:r>
      <w:r w:rsidRPr="00263D3F">
        <w:rPr>
          <w:rStyle w:val="FootnoteItalic"/>
          <w:rFonts w:asciiTheme="majorHAnsi" w:hAnsiTheme="majorHAnsi"/>
          <w:sz w:val="16"/>
          <w:szCs w:val="16"/>
        </w:rPr>
        <w:t>Toolkit for actionable decision making in times of disruption</w:t>
      </w:r>
      <w:r w:rsidRPr="00263D3F">
        <w:rPr>
          <w:rFonts w:asciiTheme="majorHAnsi" w:hAnsiTheme="majorHAnsi"/>
          <w:sz w:val="16"/>
          <w:szCs w:val="16"/>
        </w:rPr>
        <w:t xml:space="preserve">. </w:t>
      </w:r>
      <w:r w:rsidRPr="00263D3F">
        <w:rPr>
          <w:rFonts w:asciiTheme="majorHAnsi" w:hAnsiTheme="majorHAnsi"/>
          <w:sz w:val="16"/>
          <w:szCs w:val="16"/>
        </w:rPr>
        <w:br/>
      </w:r>
      <w:r w:rsidRPr="00263D3F">
        <w:rPr>
          <w:rStyle w:val="Hyperlink"/>
          <w:rFonts w:asciiTheme="majorHAnsi" w:hAnsiTheme="majorHAnsi"/>
          <w:sz w:val="16"/>
          <w:szCs w:val="16"/>
        </w:rPr>
        <w:t>https://www.achievingthedream.org/resource/18100/toolkit-for-actionable-decision-making-in-times-of-disruption</w:t>
      </w:r>
    </w:p>
  </w:footnote>
  <w:footnote w:id="2">
    <w:p w14:paraId="7893BAA4" w14:textId="055A9BE8" w:rsidR="00AF191F" w:rsidRPr="00275D65" w:rsidRDefault="00AF191F" w:rsidP="00695311">
      <w:pPr>
        <w:pStyle w:val="FootnoteText"/>
        <w:spacing w:before="120"/>
        <w:ind w:left="-90" w:hanging="180"/>
        <w:rPr>
          <w:rFonts w:asciiTheme="majorHAnsi" w:hAnsiTheme="majorHAnsi"/>
          <w:color w:val="00529B"/>
          <w:sz w:val="16"/>
          <w:szCs w:val="16"/>
          <w:u w:val="thick" w:color="00529B"/>
        </w:rPr>
      </w:pPr>
      <w:r w:rsidRPr="00112A85">
        <w:rPr>
          <w:rStyle w:val="FootnoteReference"/>
          <w:rFonts w:asciiTheme="majorHAnsi" w:hAnsiTheme="majorHAnsi"/>
          <w:sz w:val="16"/>
          <w:szCs w:val="16"/>
        </w:rPr>
        <w:footnoteRef/>
      </w:r>
      <w:r>
        <w:rPr>
          <w:rFonts w:asciiTheme="majorHAnsi" w:hAnsiTheme="majorHAnsi"/>
          <w:sz w:val="16"/>
          <w:szCs w:val="16"/>
        </w:rPr>
        <w:tab/>
      </w:r>
      <w:r w:rsidRPr="00275D65">
        <w:rPr>
          <w:rFonts w:asciiTheme="majorHAnsi" w:hAnsiTheme="majorHAnsi"/>
          <w:sz w:val="16"/>
          <w:szCs w:val="16"/>
        </w:rPr>
        <w:t xml:space="preserve">Worksheets can be downloaded at </w:t>
      </w:r>
      <w:r w:rsidRPr="00275D65">
        <w:rPr>
          <w:rStyle w:val="Hyperlink"/>
          <w:rFonts w:asciiTheme="majorHAnsi" w:hAnsiTheme="majorHAnsi"/>
          <w:sz w:val="16"/>
          <w:szCs w:val="16"/>
        </w:rPr>
        <w:t>https://www.achievingthedream.org/teaching_and_learning_toolkit</w:t>
      </w:r>
    </w:p>
  </w:footnote>
  <w:footnote w:id="3">
    <w:p w14:paraId="7E1E81CE" w14:textId="7B057799" w:rsidR="00AF191F" w:rsidRPr="00695311" w:rsidRDefault="00AF191F" w:rsidP="00C468EE">
      <w:pPr>
        <w:pStyle w:val="FootnoteText"/>
        <w:spacing w:after="80"/>
        <w:ind w:left="-86" w:hanging="274"/>
        <w:rPr>
          <w:rStyle w:val="Hyperlink"/>
          <w:rFonts w:asciiTheme="majorHAnsi" w:hAnsiTheme="majorHAnsi"/>
          <w:sz w:val="16"/>
          <w:szCs w:val="16"/>
        </w:rPr>
      </w:pPr>
      <w:bookmarkStart w:id="0" w:name="_GoBack"/>
      <w:r w:rsidRPr="00112A85">
        <w:rPr>
          <w:rStyle w:val="FootnoteReference"/>
          <w:rFonts w:asciiTheme="majorHAnsi" w:hAnsiTheme="majorHAnsi"/>
          <w:sz w:val="16"/>
          <w:szCs w:val="16"/>
        </w:rPr>
        <w:footnoteRef/>
      </w:r>
      <w:bookmarkEnd w:id="0"/>
      <w:r w:rsidRPr="00695311">
        <w:rPr>
          <w:rFonts w:asciiTheme="majorHAnsi" w:hAnsiTheme="majorHAnsi"/>
          <w:sz w:val="16"/>
          <w:szCs w:val="16"/>
        </w:rPr>
        <w:t xml:space="preserve"> </w:t>
      </w:r>
      <w:r>
        <w:rPr>
          <w:rFonts w:asciiTheme="majorHAnsi" w:hAnsiTheme="majorHAnsi"/>
          <w:sz w:val="16"/>
          <w:szCs w:val="16"/>
        </w:rPr>
        <w:tab/>
      </w:r>
      <w:r w:rsidRPr="00695311">
        <w:rPr>
          <w:rFonts w:asciiTheme="majorHAnsi" w:hAnsiTheme="majorHAnsi"/>
          <w:sz w:val="16"/>
          <w:szCs w:val="16"/>
        </w:rPr>
        <w:t xml:space="preserve">Dewsbury, B., &amp; </w:t>
      </w:r>
      <w:proofErr w:type="spellStart"/>
      <w:r w:rsidRPr="00695311">
        <w:rPr>
          <w:rFonts w:asciiTheme="majorHAnsi" w:hAnsiTheme="majorHAnsi"/>
          <w:sz w:val="16"/>
          <w:szCs w:val="16"/>
        </w:rPr>
        <w:t>Brame</w:t>
      </w:r>
      <w:proofErr w:type="spellEnd"/>
      <w:r w:rsidRPr="00695311">
        <w:rPr>
          <w:rFonts w:asciiTheme="majorHAnsi" w:hAnsiTheme="majorHAnsi"/>
          <w:sz w:val="16"/>
          <w:szCs w:val="16"/>
        </w:rPr>
        <w:t xml:space="preserve">, C. J. (2019). Evidence-based teaching guide to inclusive teaching. </w:t>
      </w:r>
      <w:r w:rsidRPr="00695311">
        <w:rPr>
          <w:rStyle w:val="FootnoteItalic"/>
          <w:rFonts w:asciiTheme="majorHAnsi" w:hAnsiTheme="majorHAnsi"/>
          <w:sz w:val="16"/>
          <w:szCs w:val="16"/>
        </w:rPr>
        <w:t>CBE—Life Sciences Education, 18</w:t>
      </w:r>
      <w:r w:rsidRPr="00695311">
        <w:rPr>
          <w:rFonts w:asciiTheme="majorHAnsi" w:hAnsiTheme="majorHAnsi"/>
          <w:sz w:val="16"/>
          <w:szCs w:val="16"/>
        </w:rPr>
        <w:t xml:space="preserve">, 1–5. </w:t>
      </w:r>
      <w:r w:rsidRPr="00695311">
        <w:rPr>
          <w:rFonts w:asciiTheme="majorHAnsi" w:hAnsiTheme="majorHAnsi"/>
          <w:sz w:val="16"/>
          <w:szCs w:val="16"/>
        </w:rPr>
        <w:br/>
      </w:r>
      <w:r w:rsidRPr="00695311">
        <w:rPr>
          <w:rStyle w:val="Hyperlink"/>
          <w:rFonts w:asciiTheme="majorHAnsi" w:hAnsiTheme="majorHAnsi"/>
          <w:sz w:val="16"/>
          <w:szCs w:val="16"/>
        </w:rPr>
        <w:t>https://www.lifescied.org/doi/10.1187/cbe.19-01-0021</w:t>
      </w:r>
    </w:p>
    <w:p w14:paraId="361239B4" w14:textId="1278028E" w:rsidR="00AF191F" w:rsidRPr="00C468EE" w:rsidRDefault="00AF191F" w:rsidP="00C468EE">
      <w:pPr>
        <w:pStyle w:val="FootnoteText"/>
        <w:spacing w:after="120"/>
        <w:ind w:left="-90"/>
        <w:rPr>
          <w:rFonts w:asciiTheme="majorHAnsi" w:hAnsiTheme="majorHAnsi"/>
          <w:color w:val="00529B"/>
          <w:sz w:val="16"/>
          <w:szCs w:val="16"/>
          <w:u w:val="thick" w:color="00529B"/>
        </w:rPr>
      </w:pPr>
      <w:r w:rsidRPr="00695311">
        <w:rPr>
          <w:rFonts w:asciiTheme="majorHAnsi" w:hAnsiTheme="majorHAnsi"/>
          <w:sz w:val="16"/>
          <w:szCs w:val="16"/>
        </w:rPr>
        <w:t xml:space="preserve">Tanner, K. D. (2013). Structure matters: Twenty-one teaching strategies to promote student engagement and cultivate classroom equity. </w:t>
      </w:r>
      <w:r w:rsidRPr="00695311">
        <w:rPr>
          <w:rStyle w:val="FootnoteItalic"/>
          <w:rFonts w:asciiTheme="majorHAnsi" w:hAnsiTheme="majorHAnsi"/>
          <w:sz w:val="16"/>
          <w:szCs w:val="16"/>
        </w:rPr>
        <w:t>CBE—Life Sciences Education, 12</w:t>
      </w:r>
      <w:r w:rsidRPr="00695311">
        <w:rPr>
          <w:rFonts w:asciiTheme="majorHAnsi" w:hAnsiTheme="majorHAnsi"/>
          <w:sz w:val="16"/>
          <w:szCs w:val="16"/>
        </w:rPr>
        <w:t xml:space="preserve">, 322–331. </w:t>
      </w:r>
      <w:r w:rsidRPr="00695311">
        <w:rPr>
          <w:rStyle w:val="Hyperlink"/>
          <w:rFonts w:asciiTheme="majorHAnsi" w:hAnsiTheme="majorHAnsi"/>
          <w:sz w:val="16"/>
          <w:szCs w:val="16"/>
        </w:rPr>
        <w:t>https://www.lifescied.org/doi/full/10.1187/cbe.13-06-0115</w:t>
      </w:r>
    </w:p>
  </w:footnote>
  <w:footnote w:id="4">
    <w:p w14:paraId="71C5EF63" w14:textId="4B093BDB" w:rsidR="00AF191F" w:rsidRPr="001D5793" w:rsidRDefault="00AF191F" w:rsidP="00C468EE">
      <w:pPr>
        <w:pStyle w:val="FootnoteText"/>
        <w:spacing w:before="120" w:after="80"/>
        <w:ind w:left="-72" w:hanging="288"/>
        <w:rPr>
          <w:rFonts w:asciiTheme="majorHAnsi" w:hAnsiTheme="majorHAnsi"/>
          <w:sz w:val="16"/>
          <w:szCs w:val="16"/>
        </w:rPr>
      </w:pPr>
      <w:r w:rsidRPr="001D5793">
        <w:rPr>
          <w:rStyle w:val="FootnoteReference"/>
          <w:rFonts w:asciiTheme="majorHAnsi" w:hAnsiTheme="majorHAnsi"/>
          <w:sz w:val="16"/>
          <w:szCs w:val="16"/>
          <w:vertAlign w:val="baseline"/>
        </w:rPr>
        <w:footnoteRef/>
      </w:r>
      <w:r w:rsidRPr="001D5793">
        <w:rPr>
          <w:rFonts w:asciiTheme="majorHAnsi" w:hAnsiTheme="majorHAnsi"/>
          <w:sz w:val="16"/>
          <w:szCs w:val="16"/>
        </w:rPr>
        <w:t xml:space="preserve"> </w:t>
      </w:r>
      <w:r>
        <w:rPr>
          <w:rFonts w:asciiTheme="majorHAnsi" w:hAnsiTheme="majorHAnsi"/>
          <w:sz w:val="16"/>
          <w:szCs w:val="16"/>
        </w:rPr>
        <w:tab/>
      </w:r>
      <w:r w:rsidRPr="001D5793">
        <w:rPr>
          <w:rFonts w:asciiTheme="majorHAnsi" w:hAnsiTheme="majorHAnsi"/>
          <w:sz w:val="16"/>
          <w:szCs w:val="16"/>
        </w:rPr>
        <w:t xml:space="preserve">hooks, b. (1994). </w:t>
      </w:r>
      <w:r w:rsidRPr="00A70F24">
        <w:rPr>
          <w:rFonts w:asciiTheme="majorHAnsi" w:hAnsiTheme="majorHAnsi"/>
          <w:i/>
          <w:iCs/>
          <w:sz w:val="16"/>
          <w:szCs w:val="16"/>
        </w:rPr>
        <w:t>Teaching to transgress: Education as the practice of freedom</w:t>
      </w:r>
      <w:r w:rsidRPr="001D5793">
        <w:rPr>
          <w:rFonts w:asciiTheme="majorHAnsi" w:hAnsiTheme="majorHAnsi"/>
          <w:sz w:val="16"/>
          <w:szCs w:val="16"/>
        </w:rPr>
        <w:t>. New York: Routledge.</w:t>
      </w:r>
    </w:p>
    <w:p w14:paraId="517D9AEE" w14:textId="77777777" w:rsidR="00AF191F" w:rsidRPr="001D5793" w:rsidRDefault="00AF191F" w:rsidP="001D5793">
      <w:pPr>
        <w:pStyle w:val="FootnoteText"/>
        <w:spacing w:after="80"/>
        <w:ind w:left="-72"/>
        <w:rPr>
          <w:rFonts w:asciiTheme="majorHAnsi" w:hAnsiTheme="majorHAnsi"/>
          <w:sz w:val="16"/>
          <w:szCs w:val="16"/>
        </w:rPr>
      </w:pPr>
      <w:r w:rsidRPr="001D5793">
        <w:rPr>
          <w:rFonts w:asciiTheme="majorHAnsi" w:hAnsiTheme="majorHAnsi"/>
          <w:sz w:val="16"/>
          <w:szCs w:val="16"/>
        </w:rPr>
        <w:t xml:space="preserve">Hurtado, S. (1992). The campus racial climate: Contexts of conflict. </w:t>
      </w:r>
      <w:r w:rsidRPr="00A70F24">
        <w:rPr>
          <w:rFonts w:asciiTheme="majorHAnsi" w:hAnsiTheme="majorHAnsi"/>
          <w:i/>
          <w:iCs/>
          <w:sz w:val="16"/>
          <w:szCs w:val="16"/>
        </w:rPr>
        <w:t>Journal of Higher Education, 63</w:t>
      </w:r>
      <w:r w:rsidRPr="001D5793">
        <w:rPr>
          <w:rFonts w:asciiTheme="majorHAnsi" w:hAnsiTheme="majorHAnsi"/>
          <w:sz w:val="16"/>
          <w:szCs w:val="16"/>
        </w:rPr>
        <w:t>, 539–569.</w:t>
      </w:r>
    </w:p>
    <w:p w14:paraId="381494AE" w14:textId="5AAD80F0" w:rsidR="00AF191F" w:rsidRPr="001D5793" w:rsidRDefault="00AF191F" w:rsidP="001D5793">
      <w:pPr>
        <w:pStyle w:val="FootnoteText"/>
        <w:spacing w:after="80"/>
        <w:ind w:left="-72"/>
        <w:rPr>
          <w:rFonts w:asciiTheme="majorHAnsi" w:hAnsiTheme="majorHAnsi"/>
          <w:sz w:val="16"/>
          <w:szCs w:val="16"/>
        </w:rPr>
      </w:pPr>
      <w:proofErr w:type="spellStart"/>
      <w:r w:rsidRPr="001D5793">
        <w:rPr>
          <w:rFonts w:asciiTheme="majorHAnsi" w:hAnsiTheme="majorHAnsi"/>
          <w:sz w:val="16"/>
          <w:szCs w:val="16"/>
        </w:rPr>
        <w:t>Thelin</w:t>
      </w:r>
      <w:proofErr w:type="spellEnd"/>
      <w:r w:rsidRPr="001D5793">
        <w:rPr>
          <w:rFonts w:asciiTheme="majorHAnsi" w:hAnsiTheme="majorHAnsi"/>
          <w:sz w:val="16"/>
          <w:szCs w:val="16"/>
        </w:rPr>
        <w:t xml:space="preserve">, J. R. (2019). </w:t>
      </w:r>
      <w:r w:rsidRPr="00A70F24">
        <w:rPr>
          <w:rFonts w:asciiTheme="majorHAnsi" w:hAnsiTheme="majorHAnsi"/>
          <w:i/>
          <w:iCs/>
          <w:sz w:val="16"/>
          <w:szCs w:val="16"/>
        </w:rPr>
        <w:t>A history of American higher education</w:t>
      </w:r>
      <w:r w:rsidRPr="001D5793">
        <w:rPr>
          <w:rFonts w:asciiTheme="majorHAnsi" w:hAnsiTheme="majorHAnsi"/>
          <w:sz w:val="16"/>
          <w:szCs w:val="16"/>
        </w:rPr>
        <w:t xml:space="preserve"> (3rd ed.). Baltimore, MD: Johns Hopkins University Press.</w:t>
      </w:r>
    </w:p>
  </w:footnote>
  <w:footnote w:id="5">
    <w:p w14:paraId="6D35953A" w14:textId="6EA9A282" w:rsidR="00AF191F" w:rsidRPr="00A70F24" w:rsidRDefault="00AF191F" w:rsidP="00A70F24">
      <w:pPr>
        <w:pStyle w:val="FootnoteText"/>
        <w:spacing w:before="120"/>
        <w:ind w:left="-72" w:hanging="288"/>
        <w:rPr>
          <w:rFonts w:asciiTheme="majorHAnsi" w:hAnsiTheme="majorHAnsi"/>
          <w:color w:val="00529B"/>
          <w:sz w:val="16"/>
          <w:szCs w:val="16"/>
          <w:u w:val="thick" w:color="00529B"/>
        </w:rPr>
      </w:pPr>
      <w:r w:rsidRPr="00F01D40">
        <w:rPr>
          <w:rStyle w:val="FootnoteReference"/>
          <w:rFonts w:asciiTheme="majorHAnsi" w:hAnsiTheme="majorHAnsi"/>
          <w:sz w:val="16"/>
          <w:szCs w:val="16"/>
          <w:vertAlign w:val="baseline"/>
        </w:rPr>
        <w:footnoteRef/>
      </w:r>
      <w:r>
        <w:rPr>
          <w:rFonts w:asciiTheme="majorHAnsi" w:hAnsiTheme="majorHAnsi"/>
          <w:i/>
          <w:sz w:val="16"/>
          <w:szCs w:val="16"/>
        </w:rPr>
        <w:tab/>
      </w:r>
      <w:r w:rsidRPr="00A70F24">
        <w:rPr>
          <w:rFonts w:asciiTheme="majorHAnsi" w:hAnsiTheme="majorHAnsi"/>
          <w:sz w:val="16"/>
          <w:szCs w:val="16"/>
        </w:rPr>
        <w:t xml:space="preserve">Hamby, S. (2018, May 22). </w:t>
      </w:r>
      <w:r w:rsidRPr="00A70F24">
        <w:rPr>
          <w:rStyle w:val="FootnoteItalic"/>
          <w:rFonts w:asciiTheme="majorHAnsi" w:hAnsiTheme="majorHAnsi"/>
          <w:sz w:val="16"/>
          <w:szCs w:val="16"/>
        </w:rPr>
        <w:t>Know thyself: How to write a reflexivity statement</w:t>
      </w:r>
      <w:r w:rsidRPr="00A70F24">
        <w:rPr>
          <w:rFonts w:asciiTheme="majorHAnsi" w:hAnsiTheme="majorHAnsi"/>
          <w:sz w:val="16"/>
          <w:szCs w:val="16"/>
        </w:rPr>
        <w:t xml:space="preserve">. [Blog post]. </w:t>
      </w:r>
      <w:r w:rsidRPr="00A70F24">
        <w:rPr>
          <w:rFonts w:asciiTheme="majorHAnsi" w:hAnsiTheme="majorHAnsi"/>
          <w:sz w:val="16"/>
          <w:szCs w:val="16"/>
        </w:rPr>
        <w:br/>
        <w:t xml:space="preserve">Retrieved from </w:t>
      </w:r>
      <w:r w:rsidRPr="00A70F24">
        <w:rPr>
          <w:rStyle w:val="Hyperlink"/>
          <w:rFonts w:asciiTheme="majorHAnsi" w:hAnsiTheme="majorHAnsi"/>
          <w:sz w:val="16"/>
          <w:szCs w:val="16"/>
        </w:rPr>
        <w:t>https://www.psychologytoday.com/us/blog/the-web-violence/201805/know-thyself-how-write-reflexivity-statement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DE0D60" w14:textId="77777777" w:rsidR="00AF191F" w:rsidRDefault="00896166">
    <w:pPr>
      <w:pStyle w:val="Header"/>
    </w:pPr>
    <w:sdt>
      <w:sdtPr>
        <w:id w:val="-1955161589"/>
        <w:placeholder>
          <w:docPart w:val="161909B5B0572C49BD8B84770A50EE20"/>
        </w:placeholder>
        <w:temporary/>
        <w:showingPlcHdr/>
      </w:sdtPr>
      <w:sdtEndPr/>
      <w:sdtContent>
        <w:r w:rsidR="00AF191F">
          <w:t>[Type text]</w:t>
        </w:r>
      </w:sdtContent>
    </w:sdt>
    <w:r w:rsidR="00AF191F">
      <w:ptab w:relativeTo="margin" w:alignment="center" w:leader="none"/>
    </w:r>
    <w:sdt>
      <w:sdtPr>
        <w:id w:val="-400132382"/>
        <w:placeholder>
          <w:docPart w:val="0771B9322CACF14889E1410E103C0057"/>
        </w:placeholder>
        <w:temporary/>
        <w:showingPlcHdr/>
      </w:sdtPr>
      <w:sdtEndPr/>
      <w:sdtContent>
        <w:r w:rsidR="00AF191F">
          <w:t>[Type text]</w:t>
        </w:r>
      </w:sdtContent>
    </w:sdt>
    <w:r w:rsidR="00AF191F">
      <w:ptab w:relativeTo="margin" w:alignment="right" w:leader="none"/>
    </w:r>
    <w:sdt>
      <w:sdtPr>
        <w:id w:val="649950366"/>
        <w:placeholder>
          <w:docPart w:val="CBE335BB17619442B607190A0EBCB8E6"/>
        </w:placeholder>
        <w:temporary/>
        <w:showingPlcHdr/>
      </w:sdtPr>
      <w:sdtEndPr/>
      <w:sdtContent>
        <w:r w:rsidR="00AF191F">
          <w:t>[Type text]</w:t>
        </w:r>
      </w:sdtContent>
    </w:sdt>
  </w:p>
  <w:p w14:paraId="3D545C10" w14:textId="77777777" w:rsidR="00AF191F" w:rsidRDefault="00AF19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CAE0A1" w14:textId="2E0D8ABA" w:rsidR="00AF191F" w:rsidRDefault="00AF191F" w:rsidP="00F92C21">
    <w:pPr>
      <w:pStyle w:val="Header"/>
      <w:jc w:val="center"/>
    </w:pPr>
    <w:r>
      <w:rPr>
        <w:noProof/>
      </w:rPr>
      <w:drawing>
        <wp:inline distT="0" distB="0" distL="0" distR="0" wp14:anchorId="4802AF49" wp14:editId="12D26F89">
          <wp:extent cx="4187952" cy="268224"/>
          <wp:effectExtent l="0" t="0" r="3175" b="1143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L Worksheet Header.png"/>
                  <pic:cNvPicPr/>
                </pic:nvPicPr>
                <pic:blipFill>
                  <a:blip r:embed="rId1">
                    <a:extLst>
                      <a:ext uri="{28A0092B-C50C-407E-A947-70E740481C1C}">
                        <a14:useLocalDpi xmlns:a14="http://schemas.microsoft.com/office/drawing/2010/main" val="0"/>
                      </a:ext>
                    </a:extLst>
                  </a:blip>
                  <a:stretch>
                    <a:fillRect/>
                  </a:stretch>
                </pic:blipFill>
                <pic:spPr>
                  <a:xfrm>
                    <a:off x="0" y="0"/>
                    <a:ext cx="4187952" cy="26822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721F3"/>
    <w:multiLevelType w:val="hybridMultilevel"/>
    <w:tmpl w:val="5D6C8D6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744E5E"/>
    <w:multiLevelType w:val="hybridMultilevel"/>
    <w:tmpl w:val="8272C2A8"/>
    <w:lvl w:ilvl="0" w:tplc="04090015">
      <w:start w:val="1"/>
      <w:numFmt w:val="upperLetter"/>
      <w:lvlText w:val="%1."/>
      <w:lvlJc w:val="left"/>
      <w:pPr>
        <w:ind w:left="3690" w:hanging="360"/>
      </w:pPr>
    </w:lvl>
    <w:lvl w:ilvl="1" w:tplc="04090019" w:tentative="1">
      <w:start w:val="1"/>
      <w:numFmt w:val="lowerLetter"/>
      <w:lvlText w:val="%2."/>
      <w:lvlJc w:val="left"/>
      <w:pPr>
        <w:ind w:left="4410" w:hanging="360"/>
      </w:pPr>
    </w:lvl>
    <w:lvl w:ilvl="2" w:tplc="0409001B" w:tentative="1">
      <w:start w:val="1"/>
      <w:numFmt w:val="lowerRoman"/>
      <w:lvlText w:val="%3."/>
      <w:lvlJc w:val="right"/>
      <w:pPr>
        <w:ind w:left="5130" w:hanging="180"/>
      </w:pPr>
    </w:lvl>
    <w:lvl w:ilvl="3" w:tplc="0409000F" w:tentative="1">
      <w:start w:val="1"/>
      <w:numFmt w:val="decimal"/>
      <w:lvlText w:val="%4."/>
      <w:lvlJc w:val="left"/>
      <w:pPr>
        <w:ind w:left="5850" w:hanging="360"/>
      </w:pPr>
    </w:lvl>
    <w:lvl w:ilvl="4" w:tplc="04090019" w:tentative="1">
      <w:start w:val="1"/>
      <w:numFmt w:val="lowerLetter"/>
      <w:lvlText w:val="%5."/>
      <w:lvlJc w:val="left"/>
      <w:pPr>
        <w:ind w:left="6570" w:hanging="360"/>
      </w:pPr>
    </w:lvl>
    <w:lvl w:ilvl="5" w:tplc="0409001B" w:tentative="1">
      <w:start w:val="1"/>
      <w:numFmt w:val="lowerRoman"/>
      <w:lvlText w:val="%6."/>
      <w:lvlJc w:val="right"/>
      <w:pPr>
        <w:ind w:left="7290" w:hanging="180"/>
      </w:pPr>
    </w:lvl>
    <w:lvl w:ilvl="6" w:tplc="0409000F" w:tentative="1">
      <w:start w:val="1"/>
      <w:numFmt w:val="decimal"/>
      <w:lvlText w:val="%7."/>
      <w:lvlJc w:val="left"/>
      <w:pPr>
        <w:ind w:left="8010" w:hanging="360"/>
      </w:pPr>
    </w:lvl>
    <w:lvl w:ilvl="7" w:tplc="04090019" w:tentative="1">
      <w:start w:val="1"/>
      <w:numFmt w:val="lowerLetter"/>
      <w:lvlText w:val="%8."/>
      <w:lvlJc w:val="left"/>
      <w:pPr>
        <w:ind w:left="8730" w:hanging="360"/>
      </w:pPr>
    </w:lvl>
    <w:lvl w:ilvl="8" w:tplc="0409001B" w:tentative="1">
      <w:start w:val="1"/>
      <w:numFmt w:val="lowerRoman"/>
      <w:lvlText w:val="%9."/>
      <w:lvlJc w:val="right"/>
      <w:pPr>
        <w:ind w:left="9450" w:hanging="180"/>
      </w:pPr>
    </w:lvl>
  </w:abstractNum>
  <w:abstractNum w:abstractNumId="2" w15:restartNumberingAfterBreak="0">
    <w:nsid w:val="0CA54B44"/>
    <w:multiLevelType w:val="hybridMultilevel"/>
    <w:tmpl w:val="735E3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F5171B"/>
    <w:multiLevelType w:val="hybridMultilevel"/>
    <w:tmpl w:val="1598EB9C"/>
    <w:lvl w:ilvl="0" w:tplc="4FACEE66">
      <w:start w:val="1"/>
      <w:numFmt w:val="bullet"/>
      <w:lvlText w:val=""/>
      <w:lvlJc w:val="left"/>
      <w:pPr>
        <w:ind w:left="720" w:hanging="360"/>
      </w:pPr>
      <w:rPr>
        <w:rFonts w:ascii="Symbol" w:hAnsi="Symbol" w:hint="default"/>
      </w:rPr>
    </w:lvl>
    <w:lvl w:ilvl="1" w:tplc="58AE5DD2">
      <w:start w:val="1"/>
      <w:numFmt w:val="bullet"/>
      <w:lvlText w:val="o"/>
      <w:lvlJc w:val="left"/>
      <w:pPr>
        <w:ind w:left="1440" w:hanging="360"/>
      </w:pPr>
      <w:rPr>
        <w:rFonts w:ascii="Courier New" w:hAnsi="Courier New" w:hint="default"/>
      </w:rPr>
    </w:lvl>
    <w:lvl w:ilvl="2" w:tplc="CF0ECDA8">
      <w:start w:val="1"/>
      <w:numFmt w:val="bullet"/>
      <w:lvlText w:val=""/>
      <w:lvlJc w:val="left"/>
      <w:pPr>
        <w:ind w:left="2160" w:hanging="360"/>
      </w:pPr>
      <w:rPr>
        <w:rFonts w:ascii="Wingdings" w:hAnsi="Wingdings" w:hint="default"/>
      </w:rPr>
    </w:lvl>
    <w:lvl w:ilvl="3" w:tplc="5A748FC6">
      <w:start w:val="1"/>
      <w:numFmt w:val="bullet"/>
      <w:lvlText w:val=""/>
      <w:lvlJc w:val="left"/>
      <w:pPr>
        <w:ind w:left="2880" w:hanging="360"/>
      </w:pPr>
      <w:rPr>
        <w:rFonts w:ascii="Symbol" w:hAnsi="Symbol" w:hint="default"/>
      </w:rPr>
    </w:lvl>
    <w:lvl w:ilvl="4" w:tplc="392CCFEE">
      <w:start w:val="1"/>
      <w:numFmt w:val="bullet"/>
      <w:lvlText w:val="o"/>
      <w:lvlJc w:val="left"/>
      <w:pPr>
        <w:ind w:left="3600" w:hanging="360"/>
      </w:pPr>
      <w:rPr>
        <w:rFonts w:ascii="Courier New" w:hAnsi="Courier New" w:hint="default"/>
      </w:rPr>
    </w:lvl>
    <w:lvl w:ilvl="5" w:tplc="96108FD6">
      <w:start w:val="1"/>
      <w:numFmt w:val="bullet"/>
      <w:lvlText w:val=""/>
      <w:lvlJc w:val="left"/>
      <w:pPr>
        <w:ind w:left="4320" w:hanging="360"/>
      </w:pPr>
      <w:rPr>
        <w:rFonts w:ascii="Wingdings" w:hAnsi="Wingdings" w:hint="default"/>
      </w:rPr>
    </w:lvl>
    <w:lvl w:ilvl="6" w:tplc="9F4A4426">
      <w:start w:val="1"/>
      <w:numFmt w:val="bullet"/>
      <w:lvlText w:val=""/>
      <w:lvlJc w:val="left"/>
      <w:pPr>
        <w:ind w:left="5040" w:hanging="360"/>
      </w:pPr>
      <w:rPr>
        <w:rFonts w:ascii="Symbol" w:hAnsi="Symbol" w:hint="default"/>
      </w:rPr>
    </w:lvl>
    <w:lvl w:ilvl="7" w:tplc="BDDA073A">
      <w:start w:val="1"/>
      <w:numFmt w:val="bullet"/>
      <w:lvlText w:val="o"/>
      <w:lvlJc w:val="left"/>
      <w:pPr>
        <w:ind w:left="5760" w:hanging="360"/>
      </w:pPr>
      <w:rPr>
        <w:rFonts w:ascii="Courier New" w:hAnsi="Courier New" w:hint="default"/>
      </w:rPr>
    </w:lvl>
    <w:lvl w:ilvl="8" w:tplc="83A6ECF6">
      <w:start w:val="1"/>
      <w:numFmt w:val="bullet"/>
      <w:lvlText w:val=""/>
      <w:lvlJc w:val="left"/>
      <w:pPr>
        <w:ind w:left="6480" w:hanging="360"/>
      </w:pPr>
      <w:rPr>
        <w:rFonts w:ascii="Wingdings" w:hAnsi="Wingdings" w:hint="default"/>
      </w:rPr>
    </w:lvl>
  </w:abstractNum>
  <w:abstractNum w:abstractNumId="4" w15:restartNumberingAfterBreak="0">
    <w:nsid w:val="132351A3"/>
    <w:multiLevelType w:val="hybridMultilevel"/>
    <w:tmpl w:val="0524B540"/>
    <w:lvl w:ilvl="0" w:tplc="0C927B42">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C04107"/>
    <w:multiLevelType w:val="hybridMultilevel"/>
    <w:tmpl w:val="BF9EC05E"/>
    <w:lvl w:ilvl="0" w:tplc="57F816B4">
      <w:start w:val="1"/>
      <w:numFmt w:val="bullet"/>
      <w:lvlText w:val=""/>
      <w:lvlJc w:val="left"/>
      <w:pPr>
        <w:ind w:left="720" w:hanging="360"/>
      </w:pPr>
      <w:rPr>
        <w:rFonts w:ascii="Symbol" w:hAnsi="Symbol" w:hint="default"/>
      </w:rPr>
    </w:lvl>
    <w:lvl w:ilvl="1" w:tplc="55921D18">
      <w:start w:val="1"/>
      <w:numFmt w:val="bullet"/>
      <w:lvlText w:val="o"/>
      <w:lvlJc w:val="left"/>
      <w:pPr>
        <w:ind w:left="1440" w:hanging="360"/>
      </w:pPr>
      <w:rPr>
        <w:rFonts w:ascii="Courier New" w:hAnsi="Courier New" w:hint="default"/>
      </w:rPr>
    </w:lvl>
    <w:lvl w:ilvl="2" w:tplc="A8684E06">
      <w:start w:val="1"/>
      <w:numFmt w:val="bullet"/>
      <w:lvlText w:val=""/>
      <w:lvlJc w:val="left"/>
      <w:pPr>
        <w:ind w:left="2160" w:hanging="360"/>
      </w:pPr>
      <w:rPr>
        <w:rFonts w:ascii="Wingdings" w:hAnsi="Wingdings" w:hint="default"/>
      </w:rPr>
    </w:lvl>
    <w:lvl w:ilvl="3" w:tplc="A03216F2">
      <w:start w:val="1"/>
      <w:numFmt w:val="bullet"/>
      <w:lvlText w:val=""/>
      <w:lvlJc w:val="left"/>
      <w:pPr>
        <w:ind w:left="2880" w:hanging="360"/>
      </w:pPr>
      <w:rPr>
        <w:rFonts w:ascii="Symbol" w:hAnsi="Symbol" w:hint="default"/>
      </w:rPr>
    </w:lvl>
    <w:lvl w:ilvl="4" w:tplc="A33A92D4">
      <w:start w:val="1"/>
      <w:numFmt w:val="bullet"/>
      <w:lvlText w:val="o"/>
      <w:lvlJc w:val="left"/>
      <w:pPr>
        <w:ind w:left="3600" w:hanging="360"/>
      </w:pPr>
      <w:rPr>
        <w:rFonts w:ascii="Courier New" w:hAnsi="Courier New" w:hint="default"/>
      </w:rPr>
    </w:lvl>
    <w:lvl w:ilvl="5" w:tplc="6F40533C">
      <w:start w:val="1"/>
      <w:numFmt w:val="bullet"/>
      <w:lvlText w:val=""/>
      <w:lvlJc w:val="left"/>
      <w:pPr>
        <w:ind w:left="4320" w:hanging="360"/>
      </w:pPr>
      <w:rPr>
        <w:rFonts w:ascii="Wingdings" w:hAnsi="Wingdings" w:hint="default"/>
      </w:rPr>
    </w:lvl>
    <w:lvl w:ilvl="6" w:tplc="7D2C91F0">
      <w:start w:val="1"/>
      <w:numFmt w:val="bullet"/>
      <w:lvlText w:val=""/>
      <w:lvlJc w:val="left"/>
      <w:pPr>
        <w:ind w:left="5040" w:hanging="360"/>
      </w:pPr>
      <w:rPr>
        <w:rFonts w:ascii="Symbol" w:hAnsi="Symbol" w:hint="default"/>
      </w:rPr>
    </w:lvl>
    <w:lvl w:ilvl="7" w:tplc="27346810">
      <w:start w:val="1"/>
      <w:numFmt w:val="bullet"/>
      <w:lvlText w:val="o"/>
      <w:lvlJc w:val="left"/>
      <w:pPr>
        <w:ind w:left="5760" w:hanging="360"/>
      </w:pPr>
      <w:rPr>
        <w:rFonts w:ascii="Courier New" w:hAnsi="Courier New" w:hint="default"/>
      </w:rPr>
    </w:lvl>
    <w:lvl w:ilvl="8" w:tplc="ADC2701C">
      <w:start w:val="1"/>
      <w:numFmt w:val="bullet"/>
      <w:lvlText w:val=""/>
      <w:lvlJc w:val="left"/>
      <w:pPr>
        <w:ind w:left="6480" w:hanging="360"/>
      </w:pPr>
      <w:rPr>
        <w:rFonts w:ascii="Wingdings" w:hAnsi="Wingdings" w:hint="default"/>
      </w:rPr>
    </w:lvl>
  </w:abstractNum>
  <w:abstractNum w:abstractNumId="6" w15:restartNumberingAfterBreak="0">
    <w:nsid w:val="23AB12BF"/>
    <w:multiLevelType w:val="hybridMultilevel"/>
    <w:tmpl w:val="A5C06A88"/>
    <w:lvl w:ilvl="0" w:tplc="5D2A710A">
      <w:start w:val="1"/>
      <w:numFmt w:val="bullet"/>
      <w:lvlText w:val=""/>
      <w:lvlJc w:val="left"/>
      <w:pPr>
        <w:ind w:left="720" w:hanging="360"/>
      </w:pPr>
      <w:rPr>
        <w:rFonts w:ascii="Symbol" w:hAnsi="Symbol" w:hint="default"/>
      </w:rPr>
    </w:lvl>
    <w:lvl w:ilvl="1" w:tplc="FC22341E">
      <w:start w:val="1"/>
      <w:numFmt w:val="bullet"/>
      <w:lvlText w:val="o"/>
      <w:lvlJc w:val="left"/>
      <w:pPr>
        <w:ind w:left="1440" w:hanging="360"/>
      </w:pPr>
      <w:rPr>
        <w:rFonts w:ascii="Courier New" w:hAnsi="Courier New" w:hint="default"/>
      </w:rPr>
    </w:lvl>
    <w:lvl w:ilvl="2" w:tplc="C5BC5B9E">
      <w:start w:val="1"/>
      <w:numFmt w:val="bullet"/>
      <w:lvlText w:val=""/>
      <w:lvlJc w:val="left"/>
      <w:pPr>
        <w:ind w:left="2160" w:hanging="360"/>
      </w:pPr>
      <w:rPr>
        <w:rFonts w:ascii="Wingdings" w:hAnsi="Wingdings" w:hint="default"/>
      </w:rPr>
    </w:lvl>
    <w:lvl w:ilvl="3" w:tplc="29AC18C2">
      <w:start w:val="1"/>
      <w:numFmt w:val="bullet"/>
      <w:lvlText w:val=""/>
      <w:lvlJc w:val="left"/>
      <w:pPr>
        <w:ind w:left="2880" w:hanging="360"/>
      </w:pPr>
      <w:rPr>
        <w:rFonts w:ascii="Symbol" w:hAnsi="Symbol" w:hint="default"/>
      </w:rPr>
    </w:lvl>
    <w:lvl w:ilvl="4" w:tplc="31E44C96">
      <w:start w:val="1"/>
      <w:numFmt w:val="bullet"/>
      <w:lvlText w:val="o"/>
      <w:lvlJc w:val="left"/>
      <w:pPr>
        <w:ind w:left="3600" w:hanging="360"/>
      </w:pPr>
      <w:rPr>
        <w:rFonts w:ascii="Courier New" w:hAnsi="Courier New" w:hint="default"/>
      </w:rPr>
    </w:lvl>
    <w:lvl w:ilvl="5" w:tplc="6E68F566">
      <w:start w:val="1"/>
      <w:numFmt w:val="bullet"/>
      <w:lvlText w:val=""/>
      <w:lvlJc w:val="left"/>
      <w:pPr>
        <w:ind w:left="4320" w:hanging="360"/>
      </w:pPr>
      <w:rPr>
        <w:rFonts w:ascii="Wingdings" w:hAnsi="Wingdings" w:hint="default"/>
      </w:rPr>
    </w:lvl>
    <w:lvl w:ilvl="6" w:tplc="D4401516">
      <w:start w:val="1"/>
      <w:numFmt w:val="bullet"/>
      <w:lvlText w:val=""/>
      <w:lvlJc w:val="left"/>
      <w:pPr>
        <w:ind w:left="5040" w:hanging="360"/>
      </w:pPr>
      <w:rPr>
        <w:rFonts w:ascii="Symbol" w:hAnsi="Symbol" w:hint="default"/>
      </w:rPr>
    </w:lvl>
    <w:lvl w:ilvl="7" w:tplc="6DF489E4">
      <w:start w:val="1"/>
      <w:numFmt w:val="bullet"/>
      <w:lvlText w:val="o"/>
      <w:lvlJc w:val="left"/>
      <w:pPr>
        <w:ind w:left="5760" w:hanging="360"/>
      </w:pPr>
      <w:rPr>
        <w:rFonts w:ascii="Courier New" w:hAnsi="Courier New" w:hint="default"/>
      </w:rPr>
    </w:lvl>
    <w:lvl w:ilvl="8" w:tplc="637E6D7A">
      <w:start w:val="1"/>
      <w:numFmt w:val="bullet"/>
      <w:lvlText w:val=""/>
      <w:lvlJc w:val="left"/>
      <w:pPr>
        <w:ind w:left="6480" w:hanging="360"/>
      </w:pPr>
      <w:rPr>
        <w:rFonts w:ascii="Wingdings" w:hAnsi="Wingdings" w:hint="default"/>
      </w:rPr>
    </w:lvl>
  </w:abstractNum>
  <w:abstractNum w:abstractNumId="7" w15:restartNumberingAfterBreak="0">
    <w:nsid w:val="2BBA468A"/>
    <w:multiLevelType w:val="hybridMultilevel"/>
    <w:tmpl w:val="DFE27DE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401FCC"/>
    <w:multiLevelType w:val="hybridMultilevel"/>
    <w:tmpl w:val="36F4B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7A3FB7"/>
    <w:multiLevelType w:val="hybridMultilevel"/>
    <w:tmpl w:val="1D72E2D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7273BA"/>
    <w:multiLevelType w:val="hybridMultilevel"/>
    <w:tmpl w:val="D5DAA2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2CE7F3B"/>
    <w:multiLevelType w:val="hybridMultilevel"/>
    <w:tmpl w:val="7A6601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8556B60"/>
    <w:multiLevelType w:val="hybridMultilevel"/>
    <w:tmpl w:val="4620B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2076ED"/>
    <w:multiLevelType w:val="hybridMultilevel"/>
    <w:tmpl w:val="46FEF268"/>
    <w:lvl w:ilvl="0" w:tplc="BE22D0C8">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7B1770"/>
    <w:multiLevelType w:val="hybridMultilevel"/>
    <w:tmpl w:val="C7EC5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AA168E"/>
    <w:multiLevelType w:val="hybridMultilevel"/>
    <w:tmpl w:val="BCD010B6"/>
    <w:lvl w:ilvl="0" w:tplc="FEC2EA58">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DB33830"/>
    <w:multiLevelType w:val="hybridMultilevel"/>
    <w:tmpl w:val="A1CA3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1A0603A"/>
    <w:multiLevelType w:val="hybridMultilevel"/>
    <w:tmpl w:val="18527F36"/>
    <w:lvl w:ilvl="0" w:tplc="8C88D070">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16"/>
  </w:num>
  <w:num w:numId="4">
    <w:abstractNumId w:val="2"/>
  </w:num>
  <w:num w:numId="5">
    <w:abstractNumId w:val="3"/>
  </w:num>
  <w:num w:numId="6">
    <w:abstractNumId w:val="14"/>
  </w:num>
  <w:num w:numId="7">
    <w:abstractNumId w:val="1"/>
  </w:num>
  <w:num w:numId="8">
    <w:abstractNumId w:val="15"/>
  </w:num>
  <w:num w:numId="9">
    <w:abstractNumId w:val="7"/>
  </w:num>
  <w:num w:numId="10">
    <w:abstractNumId w:val="13"/>
  </w:num>
  <w:num w:numId="11">
    <w:abstractNumId w:val="0"/>
  </w:num>
  <w:num w:numId="12">
    <w:abstractNumId w:val="17"/>
  </w:num>
  <w:num w:numId="13">
    <w:abstractNumId w:val="9"/>
  </w:num>
  <w:num w:numId="14">
    <w:abstractNumId w:val="4"/>
  </w:num>
  <w:num w:numId="15">
    <w:abstractNumId w:val="11"/>
  </w:num>
  <w:num w:numId="16">
    <w:abstractNumId w:val="10"/>
  </w:num>
  <w:num w:numId="17">
    <w:abstractNumId w:val="12"/>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3361D"/>
    <w:rsid w:val="00005AD0"/>
    <w:rsid w:val="00012D36"/>
    <w:rsid w:val="00034B2D"/>
    <w:rsid w:val="00045821"/>
    <w:rsid w:val="00047221"/>
    <w:rsid w:val="000715F8"/>
    <w:rsid w:val="00085085"/>
    <w:rsid w:val="000912E6"/>
    <w:rsid w:val="000A71EA"/>
    <w:rsid w:val="000C1191"/>
    <w:rsid w:val="000D037B"/>
    <w:rsid w:val="00107D58"/>
    <w:rsid w:val="00111568"/>
    <w:rsid w:val="00112A85"/>
    <w:rsid w:val="00130FC7"/>
    <w:rsid w:val="00166FC6"/>
    <w:rsid w:val="001B1F2B"/>
    <w:rsid w:val="001B2BC0"/>
    <w:rsid w:val="001C2BF9"/>
    <w:rsid w:val="001D5793"/>
    <w:rsid w:val="0020662C"/>
    <w:rsid w:val="00215D82"/>
    <w:rsid w:val="00222C16"/>
    <w:rsid w:val="002256DE"/>
    <w:rsid w:val="002376E3"/>
    <w:rsid w:val="002431F9"/>
    <w:rsid w:val="00244B18"/>
    <w:rsid w:val="00255D6C"/>
    <w:rsid w:val="0025659E"/>
    <w:rsid w:val="00260918"/>
    <w:rsid w:val="00261239"/>
    <w:rsid w:val="00263D3F"/>
    <w:rsid w:val="002649F3"/>
    <w:rsid w:val="00275D65"/>
    <w:rsid w:val="00296E33"/>
    <w:rsid w:val="002B6079"/>
    <w:rsid w:val="002D308F"/>
    <w:rsid w:val="002F5510"/>
    <w:rsid w:val="0030062D"/>
    <w:rsid w:val="00304F6D"/>
    <w:rsid w:val="003069AF"/>
    <w:rsid w:val="003120C1"/>
    <w:rsid w:val="003274F0"/>
    <w:rsid w:val="00334BEA"/>
    <w:rsid w:val="00341050"/>
    <w:rsid w:val="00344DEC"/>
    <w:rsid w:val="00351F0C"/>
    <w:rsid w:val="00356541"/>
    <w:rsid w:val="0036244E"/>
    <w:rsid w:val="003752CC"/>
    <w:rsid w:val="00397CA3"/>
    <w:rsid w:val="003B1FDB"/>
    <w:rsid w:val="003C3DC6"/>
    <w:rsid w:val="003D5BE5"/>
    <w:rsid w:val="003E2046"/>
    <w:rsid w:val="003E3C4F"/>
    <w:rsid w:val="0043548A"/>
    <w:rsid w:val="00437132"/>
    <w:rsid w:val="00453B92"/>
    <w:rsid w:val="004629D5"/>
    <w:rsid w:val="00465608"/>
    <w:rsid w:val="00490C0A"/>
    <w:rsid w:val="004A3D10"/>
    <w:rsid w:val="004B282C"/>
    <w:rsid w:val="004B6421"/>
    <w:rsid w:val="004C64A9"/>
    <w:rsid w:val="00507C09"/>
    <w:rsid w:val="0051204E"/>
    <w:rsid w:val="0055182B"/>
    <w:rsid w:val="00585D50"/>
    <w:rsid w:val="005A4AD2"/>
    <w:rsid w:val="005C5B86"/>
    <w:rsid w:val="005D6025"/>
    <w:rsid w:val="005E2427"/>
    <w:rsid w:val="005F026E"/>
    <w:rsid w:val="00623346"/>
    <w:rsid w:val="00633DC2"/>
    <w:rsid w:val="00675C52"/>
    <w:rsid w:val="00695311"/>
    <w:rsid w:val="006F4196"/>
    <w:rsid w:val="006F66FD"/>
    <w:rsid w:val="007066B3"/>
    <w:rsid w:val="00731192"/>
    <w:rsid w:val="007373A6"/>
    <w:rsid w:val="007450C0"/>
    <w:rsid w:val="0077508C"/>
    <w:rsid w:val="007C5183"/>
    <w:rsid w:val="007E67FB"/>
    <w:rsid w:val="007E78CC"/>
    <w:rsid w:val="00800DC8"/>
    <w:rsid w:val="0083075D"/>
    <w:rsid w:val="00842058"/>
    <w:rsid w:val="0084272C"/>
    <w:rsid w:val="00874A6B"/>
    <w:rsid w:val="00874FD0"/>
    <w:rsid w:val="00895625"/>
    <w:rsid w:val="00896166"/>
    <w:rsid w:val="008A618A"/>
    <w:rsid w:val="008B3B6D"/>
    <w:rsid w:val="008D061B"/>
    <w:rsid w:val="008D55B9"/>
    <w:rsid w:val="00905553"/>
    <w:rsid w:val="009352B5"/>
    <w:rsid w:val="00944411"/>
    <w:rsid w:val="00945EDE"/>
    <w:rsid w:val="00946957"/>
    <w:rsid w:val="009519CC"/>
    <w:rsid w:val="00970915"/>
    <w:rsid w:val="00992589"/>
    <w:rsid w:val="009A3F99"/>
    <w:rsid w:val="009B13C0"/>
    <w:rsid w:val="009B384E"/>
    <w:rsid w:val="009B4C5D"/>
    <w:rsid w:val="00A10BED"/>
    <w:rsid w:val="00A12EBD"/>
    <w:rsid w:val="00A16869"/>
    <w:rsid w:val="00A24DCE"/>
    <w:rsid w:val="00A318FF"/>
    <w:rsid w:val="00A53AA1"/>
    <w:rsid w:val="00A61E2A"/>
    <w:rsid w:val="00A70F24"/>
    <w:rsid w:val="00A71107"/>
    <w:rsid w:val="00AA5B53"/>
    <w:rsid w:val="00AF191F"/>
    <w:rsid w:val="00B1098F"/>
    <w:rsid w:val="00B157A4"/>
    <w:rsid w:val="00B34A1D"/>
    <w:rsid w:val="00B413DD"/>
    <w:rsid w:val="00B67E51"/>
    <w:rsid w:val="00B85CD2"/>
    <w:rsid w:val="00B94C9A"/>
    <w:rsid w:val="00BB245F"/>
    <w:rsid w:val="00BC3342"/>
    <w:rsid w:val="00C02AD4"/>
    <w:rsid w:val="00C247B0"/>
    <w:rsid w:val="00C25F18"/>
    <w:rsid w:val="00C2795F"/>
    <w:rsid w:val="00C30E05"/>
    <w:rsid w:val="00C3361D"/>
    <w:rsid w:val="00C40ECF"/>
    <w:rsid w:val="00C468EE"/>
    <w:rsid w:val="00C46D22"/>
    <w:rsid w:val="00C53C62"/>
    <w:rsid w:val="00C54750"/>
    <w:rsid w:val="00C55514"/>
    <w:rsid w:val="00C628CB"/>
    <w:rsid w:val="00CA1DC0"/>
    <w:rsid w:val="00CC3BCB"/>
    <w:rsid w:val="00CD1817"/>
    <w:rsid w:val="00CD54CA"/>
    <w:rsid w:val="00CE41AD"/>
    <w:rsid w:val="00D17575"/>
    <w:rsid w:val="00D233CC"/>
    <w:rsid w:val="00D30DFD"/>
    <w:rsid w:val="00D46333"/>
    <w:rsid w:val="00D548C3"/>
    <w:rsid w:val="00D63F56"/>
    <w:rsid w:val="00D64781"/>
    <w:rsid w:val="00D719A1"/>
    <w:rsid w:val="00D769A3"/>
    <w:rsid w:val="00D801ED"/>
    <w:rsid w:val="00DA4330"/>
    <w:rsid w:val="00DC2507"/>
    <w:rsid w:val="00DC42FA"/>
    <w:rsid w:val="00DC6BD2"/>
    <w:rsid w:val="00DC763C"/>
    <w:rsid w:val="00E13314"/>
    <w:rsid w:val="00E1440D"/>
    <w:rsid w:val="00E27D9B"/>
    <w:rsid w:val="00E51B7F"/>
    <w:rsid w:val="00E57A0A"/>
    <w:rsid w:val="00E57F34"/>
    <w:rsid w:val="00E65680"/>
    <w:rsid w:val="00E85FD8"/>
    <w:rsid w:val="00E9548F"/>
    <w:rsid w:val="00EA22D3"/>
    <w:rsid w:val="00EB2DE5"/>
    <w:rsid w:val="00F01571"/>
    <w:rsid w:val="00F01D40"/>
    <w:rsid w:val="00F07678"/>
    <w:rsid w:val="00F3646B"/>
    <w:rsid w:val="00F438B5"/>
    <w:rsid w:val="00F7282D"/>
    <w:rsid w:val="00F92C21"/>
    <w:rsid w:val="00F96A0A"/>
    <w:rsid w:val="00FE546B"/>
    <w:rsid w:val="00FF19AB"/>
    <w:rsid w:val="00FF6D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6C231B"/>
  <w14:defaultImageDpi w14:val="300"/>
  <w15:docId w15:val="{B6E7F41E-D948-9145-84FF-F0AD15FE8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3361D"/>
    <w:pPr>
      <w:spacing w:after="160" w:line="259"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361D"/>
    <w:pPr>
      <w:ind w:left="720"/>
      <w:contextualSpacing/>
    </w:pPr>
  </w:style>
  <w:style w:type="table" w:styleId="TableGrid">
    <w:name w:val="Table Grid"/>
    <w:basedOn w:val="TableNormal"/>
    <w:uiPriority w:val="59"/>
    <w:rsid w:val="00C3361D"/>
    <w:rPr>
      <w:rFonts w:eastAsiaTheme="minorHAns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WorksheetTable">
    <w:name w:val="Worksheet Table"/>
    <w:basedOn w:val="Normal"/>
    <w:qFormat/>
    <w:rsid w:val="00012D36"/>
    <w:rPr>
      <w:rFonts w:asciiTheme="majorHAnsi" w:hAnsiTheme="majorHAnsi"/>
      <w:spacing w:val="-10"/>
    </w:rPr>
  </w:style>
  <w:style w:type="paragraph" w:customStyle="1" w:styleId="WorksheetHeader">
    <w:name w:val="Worksheet Header"/>
    <w:basedOn w:val="WorksheetTable"/>
    <w:qFormat/>
    <w:rsid w:val="00012D36"/>
    <w:rPr>
      <w:b/>
      <w:bCs/>
      <w:spacing w:val="0"/>
    </w:rPr>
  </w:style>
  <w:style w:type="paragraph" w:styleId="Header">
    <w:name w:val="header"/>
    <w:basedOn w:val="Normal"/>
    <w:link w:val="HeaderChar"/>
    <w:uiPriority w:val="99"/>
    <w:unhideWhenUsed/>
    <w:rsid w:val="00260918"/>
    <w:pPr>
      <w:tabs>
        <w:tab w:val="center" w:pos="4320"/>
        <w:tab w:val="right" w:pos="8640"/>
      </w:tabs>
      <w:spacing w:after="0" w:line="240" w:lineRule="auto"/>
    </w:pPr>
  </w:style>
  <w:style w:type="character" w:customStyle="1" w:styleId="HeaderChar">
    <w:name w:val="Header Char"/>
    <w:basedOn w:val="DefaultParagraphFont"/>
    <w:link w:val="Header"/>
    <w:uiPriority w:val="99"/>
    <w:rsid w:val="00260918"/>
    <w:rPr>
      <w:rFonts w:eastAsiaTheme="minorHAnsi"/>
      <w:sz w:val="22"/>
      <w:szCs w:val="22"/>
    </w:rPr>
  </w:style>
  <w:style w:type="paragraph" w:styleId="Footer">
    <w:name w:val="footer"/>
    <w:basedOn w:val="Normal"/>
    <w:link w:val="FooterChar"/>
    <w:uiPriority w:val="99"/>
    <w:unhideWhenUsed/>
    <w:rsid w:val="00260918"/>
    <w:pPr>
      <w:tabs>
        <w:tab w:val="center" w:pos="4320"/>
        <w:tab w:val="right" w:pos="8640"/>
      </w:tabs>
      <w:spacing w:after="0" w:line="240" w:lineRule="auto"/>
    </w:pPr>
  </w:style>
  <w:style w:type="character" w:customStyle="1" w:styleId="FooterChar">
    <w:name w:val="Footer Char"/>
    <w:basedOn w:val="DefaultParagraphFont"/>
    <w:link w:val="Footer"/>
    <w:uiPriority w:val="99"/>
    <w:rsid w:val="00260918"/>
    <w:rPr>
      <w:rFonts w:eastAsiaTheme="minorHAnsi"/>
      <w:sz w:val="22"/>
      <w:szCs w:val="22"/>
    </w:rPr>
  </w:style>
  <w:style w:type="paragraph" w:styleId="BalloonText">
    <w:name w:val="Balloon Text"/>
    <w:basedOn w:val="Normal"/>
    <w:link w:val="BalloonTextChar"/>
    <w:uiPriority w:val="99"/>
    <w:semiHidden/>
    <w:unhideWhenUsed/>
    <w:rsid w:val="0026091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60918"/>
    <w:rPr>
      <w:rFonts w:ascii="Lucida Grande" w:eastAsiaTheme="minorHAnsi" w:hAnsi="Lucida Grande" w:cs="Lucida Grande"/>
      <w:sz w:val="18"/>
      <w:szCs w:val="18"/>
    </w:rPr>
  </w:style>
  <w:style w:type="paragraph" w:styleId="CommentText">
    <w:name w:val="annotation text"/>
    <w:basedOn w:val="Normal"/>
    <w:link w:val="CommentTextChar"/>
    <w:uiPriority w:val="99"/>
    <w:semiHidden/>
    <w:unhideWhenUsed/>
    <w:rsid w:val="004B282C"/>
    <w:pPr>
      <w:spacing w:line="240" w:lineRule="auto"/>
    </w:pPr>
    <w:rPr>
      <w:sz w:val="20"/>
      <w:szCs w:val="20"/>
    </w:rPr>
  </w:style>
  <w:style w:type="character" w:customStyle="1" w:styleId="CommentTextChar">
    <w:name w:val="Comment Text Char"/>
    <w:basedOn w:val="DefaultParagraphFont"/>
    <w:link w:val="CommentText"/>
    <w:uiPriority w:val="99"/>
    <w:semiHidden/>
    <w:rsid w:val="004B282C"/>
    <w:rPr>
      <w:rFonts w:eastAsiaTheme="minorHAnsi"/>
      <w:sz w:val="20"/>
      <w:szCs w:val="20"/>
    </w:rPr>
  </w:style>
  <w:style w:type="character" w:styleId="CommentReference">
    <w:name w:val="annotation reference"/>
    <w:basedOn w:val="DefaultParagraphFont"/>
    <w:uiPriority w:val="99"/>
    <w:semiHidden/>
    <w:unhideWhenUsed/>
    <w:rsid w:val="004B282C"/>
    <w:rPr>
      <w:sz w:val="16"/>
      <w:szCs w:val="16"/>
    </w:rPr>
  </w:style>
  <w:style w:type="paragraph" w:customStyle="1" w:styleId="WorksheetTextWorksheets">
    <w:name w:val="Worksheet Text (Worksheets)"/>
    <w:basedOn w:val="Normal"/>
    <w:uiPriority w:val="99"/>
    <w:rsid w:val="00842058"/>
    <w:pPr>
      <w:widowControl w:val="0"/>
      <w:autoSpaceDE w:val="0"/>
      <w:autoSpaceDN w:val="0"/>
      <w:adjustRightInd w:val="0"/>
      <w:spacing w:after="180" w:line="300" w:lineRule="atLeast"/>
      <w:textAlignment w:val="center"/>
    </w:pPr>
    <w:rPr>
      <w:rFonts w:asciiTheme="majorHAnsi" w:eastAsiaTheme="minorEastAsia" w:hAnsiTheme="majorHAnsi" w:cs="ITCAvantGardeStd-BkCn"/>
      <w:color w:val="000000"/>
    </w:rPr>
  </w:style>
  <w:style w:type="paragraph" w:customStyle="1" w:styleId="TableHeaderWorksheets">
    <w:name w:val="Table Header (Worksheets)"/>
    <w:basedOn w:val="Normal"/>
    <w:uiPriority w:val="99"/>
    <w:rsid w:val="00D233CC"/>
    <w:pPr>
      <w:widowControl w:val="0"/>
      <w:suppressAutoHyphens/>
      <w:autoSpaceDE w:val="0"/>
      <w:autoSpaceDN w:val="0"/>
      <w:adjustRightInd w:val="0"/>
      <w:spacing w:after="0" w:line="288" w:lineRule="auto"/>
      <w:jc w:val="center"/>
      <w:textAlignment w:val="center"/>
    </w:pPr>
    <w:rPr>
      <w:rFonts w:ascii="ITCAvantGardeStd-DemiCn" w:eastAsiaTheme="minorEastAsia" w:hAnsi="ITCAvantGardeStd-DemiCn" w:cs="ITCAvantGardeStd-DemiCn"/>
      <w:color w:val="FFFFFF"/>
    </w:rPr>
  </w:style>
  <w:style w:type="paragraph" w:customStyle="1" w:styleId="TableTextExampleWorksheets">
    <w:name w:val="Table Text Example (Worksheets)"/>
    <w:basedOn w:val="Normal"/>
    <w:uiPriority w:val="99"/>
    <w:rsid w:val="00D233CC"/>
    <w:pPr>
      <w:widowControl w:val="0"/>
      <w:suppressAutoHyphens/>
      <w:autoSpaceDE w:val="0"/>
      <w:autoSpaceDN w:val="0"/>
      <w:adjustRightInd w:val="0"/>
      <w:spacing w:line="288" w:lineRule="auto"/>
      <w:textAlignment w:val="center"/>
    </w:pPr>
    <w:rPr>
      <w:rFonts w:ascii="ITCAvantGardeStd-BkCnObl" w:eastAsiaTheme="minorEastAsia" w:hAnsi="ITCAvantGardeStd-BkCnObl" w:cs="ITCAvantGardeStd-BkCnObl"/>
      <w:i/>
      <w:iCs/>
      <w:color w:val="000000"/>
      <w:sz w:val="18"/>
      <w:szCs w:val="18"/>
    </w:rPr>
  </w:style>
  <w:style w:type="paragraph" w:customStyle="1" w:styleId="WorksheetNumberedQuestionsWorksheets">
    <w:name w:val="Worksheet Numbered Questions (Worksheets)"/>
    <w:basedOn w:val="WorksheetTextWorksheets"/>
    <w:uiPriority w:val="99"/>
    <w:rsid w:val="00D801ED"/>
    <w:pPr>
      <w:ind w:left="630" w:hanging="270"/>
    </w:pPr>
    <w:rPr>
      <w:rFonts w:ascii="ITCAvantGardeStd-BkCn" w:hAnsi="ITCAvantGardeStd-BkCn"/>
    </w:rPr>
  </w:style>
  <w:style w:type="paragraph" w:customStyle="1" w:styleId="NoParagraphStyle">
    <w:name w:val="[No Paragraph Style]"/>
    <w:rsid w:val="00D801ED"/>
    <w:pPr>
      <w:widowControl w:val="0"/>
      <w:autoSpaceDE w:val="0"/>
      <w:autoSpaceDN w:val="0"/>
      <w:adjustRightInd w:val="0"/>
      <w:spacing w:line="288" w:lineRule="auto"/>
      <w:textAlignment w:val="center"/>
    </w:pPr>
    <w:rPr>
      <w:rFonts w:ascii="ITCAvantGardeStd-DemiCn" w:hAnsi="ITCAvantGardeStd-DemiCn" w:cs="Times New Roman"/>
      <w:color w:val="000000"/>
    </w:rPr>
  </w:style>
  <w:style w:type="paragraph" w:customStyle="1" w:styleId="TableTextWorksheets">
    <w:name w:val="Table Text (Worksheets)"/>
    <w:basedOn w:val="NoParagraphStyle"/>
    <w:uiPriority w:val="99"/>
    <w:rsid w:val="000912E6"/>
    <w:pPr>
      <w:suppressAutoHyphens/>
      <w:spacing w:after="160"/>
    </w:pPr>
    <w:rPr>
      <w:rFonts w:ascii="ITCAvantGardeStd-BkCn" w:hAnsi="ITCAvantGardeStd-BkCn" w:cs="ITCAvantGardeStd-BkCn"/>
      <w:sz w:val="18"/>
      <w:szCs w:val="18"/>
    </w:rPr>
  </w:style>
  <w:style w:type="character" w:styleId="Hyperlink">
    <w:name w:val="Hyperlink"/>
    <w:basedOn w:val="DefaultParagraphFont"/>
    <w:uiPriority w:val="99"/>
    <w:rsid w:val="00F3646B"/>
    <w:rPr>
      <w:color w:val="00529B"/>
      <w:w w:val="100"/>
      <w:u w:val="thick" w:color="00529B"/>
    </w:rPr>
  </w:style>
  <w:style w:type="paragraph" w:styleId="FootnoteText">
    <w:name w:val="footnote text"/>
    <w:aliases w:val="double digit,Footnote Text Multiple1"/>
    <w:basedOn w:val="Normal"/>
    <w:link w:val="FootnoteTextChar"/>
    <w:uiPriority w:val="99"/>
    <w:unhideWhenUsed/>
    <w:rsid w:val="00E85FD8"/>
    <w:pPr>
      <w:spacing w:after="0" w:line="240" w:lineRule="auto"/>
    </w:pPr>
    <w:rPr>
      <w:sz w:val="24"/>
      <w:szCs w:val="24"/>
    </w:rPr>
  </w:style>
  <w:style w:type="character" w:customStyle="1" w:styleId="FootnoteTextChar">
    <w:name w:val="Footnote Text Char"/>
    <w:aliases w:val="double digit Char,Footnote Text Multiple1 Char"/>
    <w:basedOn w:val="DefaultParagraphFont"/>
    <w:link w:val="FootnoteText"/>
    <w:uiPriority w:val="99"/>
    <w:rsid w:val="00E85FD8"/>
    <w:rPr>
      <w:rFonts w:eastAsiaTheme="minorHAnsi"/>
    </w:rPr>
  </w:style>
  <w:style w:type="character" w:styleId="FootnoteReference">
    <w:name w:val="footnote reference"/>
    <w:basedOn w:val="DefaultParagraphFont"/>
    <w:uiPriority w:val="99"/>
    <w:unhideWhenUsed/>
    <w:rsid w:val="00E85FD8"/>
    <w:rPr>
      <w:vertAlign w:val="superscript"/>
    </w:rPr>
  </w:style>
  <w:style w:type="character" w:customStyle="1" w:styleId="FootnoteItalic">
    <w:name w:val="Footnote Italic"/>
    <w:uiPriority w:val="99"/>
    <w:rsid w:val="00585D50"/>
    <w:rPr>
      <w:i/>
      <w:iCs/>
    </w:rPr>
  </w:style>
  <w:style w:type="character" w:customStyle="1" w:styleId="RealFootnoteNumber">
    <w:name w:val="Real Footnote Number"/>
    <w:uiPriority w:val="99"/>
    <w:rsid w:val="0030062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119790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61909B5B0572C49BD8B84770A50EE20"/>
        <w:category>
          <w:name w:val="General"/>
          <w:gallery w:val="placeholder"/>
        </w:category>
        <w:types>
          <w:type w:val="bbPlcHdr"/>
        </w:types>
        <w:behaviors>
          <w:behavior w:val="content"/>
        </w:behaviors>
        <w:guid w:val="{DD37DA7D-7F87-5A41-BE43-5334DE23B5DE}"/>
      </w:docPartPr>
      <w:docPartBody>
        <w:p w:rsidR="00C82813" w:rsidRDefault="00DB3740" w:rsidP="00DB3740">
          <w:pPr>
            <w:pStyle w:val="161909B5B0572C49BD8B84770A50EE20"/>
          </w:pPr>
          <w:r>
            <w:t>[Type text]</w:t>
          </w:r>
        </w:p>
      </w:docPartBody>
    </w:docPart>
    <w:docPart>
      <w:docPartPr>
        <w:name w:val="0771B9322CACF14889E1410E103C0057"/>
        <w:category>
          <w:name w:val="General"/>
          <w:gallery w:val="placeholder"/>
        </w:category>
        <w:types>
          <w:type w:val="bbPlcHdr"/>
        </w:types>
        <w:behaviors>
          <w:behavior w:val="content"/>
        </w:behaviors>
        <w:guid w:val="{2733123D-5261-5444-BBD3-CE2F644B838E}"/>
      </w:docPartPr>
      <w:docPartBody>
        <w:p w:rsidR="00C82813" w:rsidRDefault="00DB3740" w:rsidP="00DB3740">
          <w:pPr>
            <w:pStyle w:val="0771B9322CACF14889E1410E103C0057"/>
          </w:pPr>
          <w:r>
            <w:t>[Type text]</w:t>
          </w:r>
        </w:p>
      </w:docPartBody>
    </w:docPart>
    <w:docPart>
      <w:docPartPr>
        <w:name w:val="CBE335BB17619442B607190A0EBCB8E6"/>
        <w:category>
          <w:name w:val="General"/>
          <w:gallery w:val="placeholder"/>
        </w:category>
        <w:types>
          <w:type w:val="bbPlcHdr"/>
        </w:types>
        <w:behaviors>
          <w:behavior w:val="content"/>
        </w:behaviors>
        <w:guid w:val="{B857CADE-7F44-2143-BF3C-92EDD95D3974}"/>
      </w:docPartPr>
      <w:docPartBody>
        <w:p w:rsidR="00C82813" w:rsidRDefault="00DB3740" w:rsidP="00DB3740">
          <w:pPr>
            <w:pStyle w:val="CBE335BB17619442B607190A0EBCB8E6"/>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ITCAvantGardeStd-BkCn">
    <w:altName w:val="Calibri"/>
    <w:panose1 w:val="020B0604020202020204"/>
    <w:charset w:val="4D"/>
    <w:family w:val="auto"/>
    <w:notTrueType/>
    <w:pitch w:val="default"/>
    <w:sig w:usb0="00000003" w:usb1="00000000" w:usb2="00000000" w:usb3="00000000" w:csb0="00000001" w:csb1="00000000"/>
  </w:font>
  <w:font w:name="ITCAvantGardeStd-DemiCn">
    <w:altName w:val="Calibri"/>
    <w:panose1 w:val="020B0604020202020204"/>
    <w:charset w:val="4D"/>
    <w:family w:val="auto"/>
    <w:notTrueType/>
    <w:pitch w:val="default"/>
    <w:sig w:usb0="00000003" w:usb1="00000000" w:usb2="00000000" w:usb3="00000000" w:csb0="00000001" w:csb1="00000000"/>
  </w:font>
  <w:font w:name="ITCAvantGardeStd-BkCnObl">
    <w:altName w:val="Calibri"/>
    <w:panose1 w:val="020B0604020202020204"/>
    <w:charset w:val="4D"/>
    <w:family w:val="auto"/>
    <w:notTrueType/>
    <w:pitch w:val="default"/>
    <w:sig w:usb0="00000003" w:usb1="00000000" w:usb2="00000000" w:usb3="00000000" w:csb0="00000001" w:csb1="00000000"/>
  </w:font>
  <w:font w:name="Times">
    <w:panose1 w:val="00000500000000020000"/>
    <w:charset w:val="00"/>
    <w:family w:val="auto"/>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B3740"/>
    <w:rsid w:val="00270747"/>
    <w:rsid w:val="002D018A"/>
    <w:rsid w:val="007E7BD1"/>
    <w:rsid w:val="007F3952"/>
    <w:rsid w:val="00C82813"/>
    <w:rsid w:val="00DB3740"/>
    <w:rsid w:val="00E264A3"/>
    <w:rsid w:val="00F71C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2AF4303A9293043BF1AA8FBE5D5ADF4">
    <w:name w:val="62AF4303A9293043BF1AA8FBE5D5ADF4"/>
    <w:rsid w:val="00DB3740"/>
  </w:style>
  <w:style w:type="paragraph" w:customStyle="1" w:styleId="D5829FB30A663A4F952131589E738AB4">
    <w:name w:val="D5829FB30A663A4F952131589E738AB4"/>
    <w:rsid w:val="00DB3740"/>
  </w:style>
  <w:style w:type="paragraph" w:customStyle="1" w:styleId="0B59DBD89C50AE4BBA1DD42018E1C5C2">
    <w:name w:val="0B59DBD89C50AE4BBA1DD42018E1C5C2"/>
    <w:rsid w:val="00DB3740"/>
  </w:style>
  <w:style w:type="paragraph" w:customStyle="1" w:styleId="F9556F6C7B8E8544BADD9A46CEDB85C2">
    <w:name w:val="F9556F6C7B8E8544BADD9A46CEDB85C2"/>
    <w:rsid w:val="00DB3740"/>
  </w:style>
  <w:style w:type="paragraph" w:customStyle="1" w:styleId="1A083D8499B3B04B9359B9645890E387">
    <w:name w:val="1A083D8499B3B04B9359B9645890E387"/>
    <w:rsid w:val="00DB3740"/>
  </w:style>
  <w:style w:type="paragraph" w:customStyle="1" w:styleId="37041526F7C0DF4398CB7589A194F6B2">
    <w:name w:val="37041526F7C0DF4398CB7589A194F6B2"/>
    <w:rsid w:val="00DB3740"/>
  </w:style>
  <w:style w:type="paragraph" w:customStyle="1" w:styleId="161909B5B0572C49BD8B84770A50EE20">
    <w:name w:val="161909B5B0572C49BD8B84770A50EE20"/>
    <w:rsid w:val="00DB3740"/>
  </w:style>
  <w:style w:type="paragraph" w:customStyle="1" w:styleId="0771B9322CACF14889E1410E103C0057">
    <w:name w:val="0771B9322CACF14889E1410E103C0057"/>
    <w:rsid w:val="00DB3740"/>
  </w:style>
  <w:style w:type="paragraph" w:customStyle="1" w:styleId="CBE335BB17619442B607190A0EBCB8E6">
    <w:name w:val="CBE335BB17619442B607190A0EBCB8E6"/>
    <w:rsid w:val="00DB3740"/>
  </w:style>
  <w:style w:type="paragraph" w:customStyle="1" w:styleId="1FCB7B1F20D57840A4002D0C1D02C310">
    <w:name w:val="1FCB7B1F20D57840A4002D0C1D02C310"/>
    <w:rsid w:val="00DB3740"/>
  </w:style>
  <w:style w:type="paragraph" w:customStyle="1" w:styleId="97D8914901EBFC45908B6C416F220C35">
    <w:name w:val="97D8914901EBFC45908B6C416F220C35"/>
    <w:rsid w:val="00DB3740"/>
  </w:style>
  <w:style w:type="paragraph" w:customStyle="1" w:styleId="8C98F5BCDFF7E1419B8C5E6F523667A1">
    <w:name w:val="8C98F5BCDFF7E1419B8C5E6F523667A1"/>
    <w:rsid w:val="00DB37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934669-A223-034D-BE06-71A7A482C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10</Pages>
  <Words>3311</Words>
  <Characters>18875</Characters>
  <Application>Microsoft Office Word</Application>
  <DocSecurity>0</DocSecurity>
  <Lines>157</Lines>
  <Paragraphs>44</Paragraphs>
  <ScaleCrop>false</ScaleCrop>
  <Company>Springer Design &amp; Illustration</Company>
  <LinksUpToDate>false</LinksUpToDate>
  <CharactersWithSpaces>22142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Jesse Springer</dc:creator>
  <cp:keywords/>
  <dc:description/>
  <cp:lastModifiedBy>Jon Iuzzini</cp:lastModifiedBy>
  <cp:revision>21</cp:revision>
  <cp:lastPrinted>2020-09-05T22:37:00Z</cp:lastPrinted>
  <dcterms:created xsi:type="dcterms:W3CDTF">2020-09-05T22:39:00Z</dcterms:created>
  <dcterms:modified xsi:type="dcterms:W3CDTF">2020-09-14T18:09:00Z</dcterms:modified>
</cp:coreProperties>
</file>