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F341" w14:textId="2D965E06" w:rsidR="00397CA3" w:rsidRPr="00B85CD2" w:rsidRDefault="00F96A0A" w:rsidP="00490C0A">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drawing>
          <wp:anchor distT="0" distB="0" distL="114300" distR="114300" simplePos="0" relativeHeight="251658240" behindDoc="1" locked="0" layoutInCell="1" allowOverlap="1" wp14:anchorId="696B7A51" wp14:editId="68521BB8">
            <wp:simplePos x="0" y="0"/>
            <wp:positionH relativeFrom="column">
              <wp:posOffset>-228600</wp:posOffset>
            </wp:positionH>
            <wp:positionV relativeFrom="paragraph">
              <wp:posOffset>3810</wp:posOffset>
            </wp:positionV>
            <wp:extent cx="5943600" cy="40174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F3646B">
        <w:rPr>
          <w:rFonts w:asciiTheme="majorHAnsi" w:hAnsiTheme="majorHAnsi"/>
          <w:color w:val="FFFFFF" w:themeColor="background1"/>
          <w:position w:val="-40"/>
          <w:sz w:val="24"/>
          <w:szCs w:val="24"/>
        </w:rPr>
        <w:t xml:space="preserve">Chapter </w:t>
      </w:r>
      <w:r w:rsidR="00A318FF">
        <w:rPr>
          <w:rFonts w:asciiTheme="majorHAnsi" w:hAnsiTheme="majorHAnsi"/>
          <w:color w:val="FFFFFF" w:themeColor="background1"/>
          <w:position w:val="-40"/>
          <w:sz w:val="24"/>
          <w:szCs w:val="24"/>
        </w:rPr>
        <w:t>4</w:t>
      </w:r>
      <w:r w:rsidR="00F3646B">
        <w:rPr>
          <w:rFonts w:asciiTheme="majorHAnsi" w:hAnsiTheme="majorHAnsi"/>
          <w:color w:val="FFFFFF" w:themeColor="background1"/>
          <w:position w:val="-40"/>
          <w:sz w:val="24"/>
          <w:szCs w:val="24"/>
        </w:rPr>
        <w:t xml:space="preserve"> Worksheets</w:t>
      </w:r>
    </w:p>
    <w:p w14:paraId="2DB23DD4" w14:textId="7D9D3F8B" w:rsidR="00F3646B" w:rsidRPr="00F3646B" w:rsidRDefault="00A318FF" w:rsidP="00A318FF">
      <w:pPr>
        <w:tabs>
          <w:tab w:val="left" w:pos="90"/>
        </w:tabs>
        <w:spacing w:before="240" w:line="240" w:lineRule="atLeast"/>
        <w:ind w:left="-274"/>
        <w:jc w:val="center"/>
        <w:rPr>
          <w:rFonts w:asciiTheme="majorHAnsi" w:hAnsiTheme="majorHAnsi"/>
          <w:b/>
          <w:color w:val="00836C"/>
          <w:sz w:val="36"/>
          <w:szCs w:val="36"/>
        </w:rPr>
      </w:pPr>
      <w:r w:rsidRPr="00A318FF">
        <w:rPr>
          <w:rFonts w:asciiTheme="majorHAnsi" w:hAnsiTheme="majorHAnsi"/>
          <w:b/>
          <w:color w:val="00836C"/>
          <w:sz w:val="36"/>
          <w:szCs w:val="36"/>
        </w:rPr>
        <w:t xml:space="preserve">Chapter 4 Worksheet Instructions: </w:t>
      </w:r>
      <w:r w:rsidRPr="00A318FF">
        <w:rPr>
          <w:rFonts w:asciiTheme="majorHAnsi" w:hAnsiTheme="majorHAnsi"/>
          <w:b/>
          <w:color w:val="00836C"/>
          <w:sz w:val="36"/>
          <w:szCs w:val="36"/>
        </w:rPr>
        <w:br/>
        <w:t xml:space="preserve">Institutional and </w:t>
      </w:r>
      <w:proofErr w:type="spellStart"/>
      <w:r w:rsidRPr="00A318FF">
        <w:rPr>
          <w:rFonts w:asciiTheme="majorHAnsi" w:hAnsiTheme="majorHAnsi"/>
          <w:b/>
          <w:color w:val="00836C"/>
          <w:sz w:val="36"/>
          <w:szCs w:val="36"/>
        </w:rPr>
        <w:t>Ecosystemic</w:t>
      </w:r>
      <w:proofErr w:type="spellEnd"/>
      <w:r w:rsidRPr="00A318FF">
        <w:rPr>
          <w:rFonts w:asciiTheme="majorHAnsi" w:hAnsiTheme="majorHAnsi"/>
          <w:b/>
          <w:color w:val="00836C"/>
          <w:sz w:val="36"/>
          <w:szCs w:val="36"/>
        </w:rPr>
        <w:t xml:space="preserve"> Support</w:t>
      </w:r>
    </w:p>
    <w:p w14:paraId="60860373" w14:textId="77777777" w:rsidR="00A318FF" w:rsidRPr="00A318FF" w:rsidRDefault="00A318FF" w:rsidP="00A318FF">
      <w:pPr>
        <w:tabs>
          <w:tab w:val="left" w:pos="90"/>
        </w:tabs>
        <w:spacing w:line="240" w:lineRule="auto"/>
        <w:ind w:left="-274"/>
        <w:rPr>
          <w:rFonts w:asciiTheme="majorHAnsi" w:eastAsiaTheme="minorEastAsia" w:hAnsiTheme="majorHAnsi" w:cs="ITCAvantGardeStd-BkCn"/>
          <w:color w:val="000000"/>
        </w:rPr>
      </w:pPr>
      <w:r w:rsidRPr="00A318FF">
        <w:rPr>
          <w:rFonts w:asciiTheme="majorHAnsi" w:eastAsiaTheme="minorEastAsia" w:hAnsiTheme="majorHAnsi" w:cs="ITCAvantGardeStd-BkCn"/>
          <w:color w:val="000000"/>
        </w:rPr>
        <w:t xml:space="preserve">High-impact professional learning requires strategic support. The Institutional dimension of the </w:t>
      </w:r>
      <w:r w:rsidRPr="00A318FF">
        <w:rPr>
          <w:rFonts w:asciiTheme="majorHAnsi" w:eastAsiaTheme="minorEastAsia" w:hAnsiTheme="majorHAnsi" w:cs="ITCAvantGardeStd-BkCn"/>
          <w:i/>
          <w:iCs/>
          <w:color w:val="000000"/>
        </w:rPr>
        <w:t>NLC Framework</w:t>
      </w:r>
      <w:r w:rsidRPr="00A318FF">
        <w:rPr>
          <w:rFonts w:asciiTheme="majorHAnsi" w:eastAsiaTheme="minorEastAsia" w:hAnsiTheme="majorHAnsi" w:cs="ITCAvantGardeStd-BkCn"/>
          <w:color w:val="000000"/>
        </w:rPr>
        <w:t xml:space="preserve"> focuses on campus policies and practices that institutions can take to support professional learning and advance instructional quality. The </w:t>
      </w:r>
      <w:proofErr w:type="spellStart"/>
      <w:r w:rsidRPr="00A318FF">
        <w:rPr>
          <w:rFonts w:asciiTheme="majorHAnsi" w:eastAsiaTheme="minorEastAsia" w:hAnsiTheme="majorHAnsi" w:cs="ITCAvantGardeStd-BkCn"/>
          <w:color w:val="000000"/>
        </w:rPr>
        <w:t>Ecosystemic</w:t>
      </w:r>
      <w:proofErr w:type="spellEnd"/>
      <w:r w:rsidRPr="00A318FF">
        <w:rPr>
          <w:rFonts w:asciiTheme="majorHAnsi" w:eastAsiaTheme="minorEastAsia" w:hAnsiTheme="majorHAnsi" w:cs="ITCAvantGardeStd-BkCn"/>
          <w:color w:val="000000"/>
        </w:rPr>
        <w:t xml:space="preserve"> dimension considers the broader systemic actors that shape the higher education environment, including the environment for professional learning. The Institutional and </w:t>
      </w:r>
      <w:proofErr w:type="spellStart"/>
      <w:r w:rsidRPr="00A318FF">
        <w:rPr>
          <w:rFonts w:asciiTheme="majorHAnsi" w:eastAsiaTheme="minorEastAsia" w:hAnsiTheme="majorHAnsi" w:cs="ITCAvantGardeStd-BkCn"/>
          <w:color w:val="000000"/>
        </w:rPr>
        <w:t>Ecosystemic</w:t>
      </w:r>
      <w:proofErr w:type="spellEnd"/>
      <w:r w:rsidRPr="00A318FF">
        <w:rPr>
          <w:rFonts w:asciiTheme="majorHAnsi" w:eastAsiaTheme="minorEastAsia" w:hAnsiTheme="majorHAnsi" w:cs="ITCAvantGardeStd-BkCn"/>
          <w:color w:val="000000"/>
        </w:rPr>
        <w:t xml:space="preserve"> Core Principles together outline a strategic approach to scaling and sustaining professional learning and educational development.</w:t>
      </w:r>
    </w:p>
    <w:p w14:paraId="103F44AC" w14:textId="77777777" w:rsidR="00A318FF" w:rsidRPr="00A318FF" w:rsidRDefault="00A318FF" w:rsidP="00A318FF">
      <w:pPr>
        <w:tabs>
          <w:tab w:val="left" w:pos="90"/>
        </w:tabs>
        <w:spacing w:line="240" w:lineRule="auto"/>
        <w:ind w:left="-274"/>
        <w:rPr>
          <w:rFonts w:asciiTheme="majorHAnsi" w:eastAsiaTheme="minorEastAsia" w:hAnsiTheme="majorHAnsi" w:cs="ITCAvantGardeStd-BkCn"/>
          <w:color w:val="000000"/>
        </w:rPr>
      </w:pPr>
      <w:r w:rsidRPr="00A318FF">
        <w:rPr>
          <w:rFonts w:asciiTheme="majorHAnsi" w:eastAsiaTheme="minorEastAsia" w:hAnsiTheme="majorHAnsi" w:cs="ITCAvantGardeStd-BkCn"/>
          <w:color w:val="000000"/>
        </w:rPr>
        <w:t xml:space="preserve">Worksheets 4.1–4.8 are designed to help your team consider the Good Practice Principles of the Institutional and </w:t>
      </w:r>
      <w:proofErr w:type="spellStart"/>
      <w:r w:rsidRPr="00A318FF">
        <w:rPr>
          <w:rFonts w:asciiTheme="majorHAnsi" w:eastAsiaTheme="minorEastAsia" w:hAnsiTheme="majorHAnsi" w:cs="ITCAvantGardeStd-BkCn"/>
          <w:color w:val="000000"/>
        </w:rPr>
        <w:t>Ecosystemic</w:t>
      </w:r>
      <w:proofErr w:type="spellEnd"/>
      <w:r w:rsidRPr="00A318FF">
        <w:rPr>
          <w:rFonts w:asciiTheme="majorHAnsi" w:eastAsiaTheme="minorEastAsia" w:hAnsiTheme="majorHAnsi" w:cs="ITCAvantGardeStd-BkCn"/>
          <w:color w:val="000000"/>
        </w:rPr>
        <w:t xml:space="preserve"> dimensions as you prepare your plans. For each Good Practice Principle, we suggest you begin by individually assessing current campus professional learning practice, using the rating scale and question prompts. (You might decide beforehand whether to focus on professional learning campus-wide or in a smaller, more specific area.) Then, individually brainstorm ways to strengthen your professional learning design and implementation. </w:t>
      </w:r>
    </w:p>
    <w:p w14:paraId="663A318E" w14:textId="77777777" w:rsidR="00A318FF" w:rsidRPr="00A318FF" w:rsidRDefault="00A318FF" w:rsidP="00A318FF">
      <w:pPr>
        <w:tabs>
          <w:tab w:val="left" w:pos="90"/>
        </w:tabs>
        <w:spacing w:line="240" w:lineRule="auto"/>
        <w:ind w:left="-274"/>
        <w:rPr>
          <w:rFonts w:asciiTheme="majorHAnsi" w:eastAsiaTheme="minorEastAsia" w:hAnsiTheme="majorHAnsi" w:cs="ITCAvantGardeStd-BkCn"/>
          <w:color w:val="000000"/>
        </w:rPr>
      </w:pPr>
      <w:r w:rsidRPr="00A318FF">
        <w:rPr>
          <w:rFonts w:asciiTheme="majorHAnsi" w:eastAsiaTheme="minorEastAsia" w:hAnsiTheme="majorHAnsi" w:cs="ITCAvantGardeStd-BkCn"/>
          <w:color w:val="000000"/>
        </w:rPr>
        <w:t>You might want to consider doing this as a simple “jigsaw” process, splitting up different Principles (or sets of two to four Principles) to be addressed by subgroups of your team. There are of course many ways to do this. Here’s one way that this could work:</w:t>
      </w:r>
    </w:p>
    <w:p w14:paraId="618C01D4" w14:textId="77777777" w:rsidR="00A318FF" w:rsidRPr="00A318FF" w:rsidRDefault="00A318FF" w:rsidP="00A318FF">
      <w:pPr>
        <w:tabs>
          <w:tab w:val="left" w:pos="90"/>
        </w:tabs>
        <w:spacing w:line="240" w:lineRule="auto"/>
        <w:ind w:left="-274"/>
        <w:rPr>
          <w:rFonts w:asciiTheme="majorHAnsi" w:eastAsiaTheme="minorEastAsia" w:hAnsiTheme="majorHAnsi" w:cs="ITCAvantGardeStd-BkCn"/>
          <w:color w:val="000000"/>
        </w:rPr>
      </w:pPr>
      <w:r w:rsidRPr="00A318FF">
        <w:rPr>
          <w:rFonts w:asciiTheme="majorHAnsi" w:eastAsiaTheme="minorEastAsia" w:hAnsiTheme="majorHAnsi" w:cs="ITCAvantGardeStd-BkCn"/>
          <w:b/>
          <w:bCs/>
          <w:color w:val="000000"/>
        </w:rPr>
        <w:t>Step 1: Individual Work.</w:t>
      </w:r>
      <w:r w:rsidRPr="00A318FF">
        <w:rPr>
          <w:rFonts w:asciiTheme="majorHAnsi" w:eastAsiaTheme="minorEastAsia" w:hAnsiTheme="majorHAnsi" w:cs="ITCAvantGardeStd-BkCn"/>
          <w:color w:val="000000"/>
        </w:rPr>
        <w:t xml:space="preserve"> After splitting up your team to address different Principles, team members work individually, using the Worksheets for their assigned principle to assess current professional learning practice and plan for change. </w:t>
      </w:r>
    </w:p>
    <w:p w14:paraId="632E9DE6" w14:textId="16D0F8D4" w:rsidR="00F3646B" w:rsidRPr="00F3646B" w:rsidRDefault="00A318FF" w:rsidP="00A318FF">
      <w:pPr>
        <w:tabs>
          <w:tab w:val="left" w:pos="90"/>
        </w:tabs>
        <w:spacing w:line="240" w:lineRule="auto"/>
        <w:ind w:left="-274"/>
        <w:rPr>
          <w:rFonts w:asciiTheme="majorHAnsi" w:eastAsiaTheme="minorEastAsia" w:hAnsiTheme="majorHAnsi" w:cs="ITCAvantGardeStd-BkCn"/>
          <w:color w:val="000000"/>
        </w:rPr>
      </w:pPr>
      <w:r w:rsidRPr="00A318FF">
        <w:rPr>
          <w:rFonts w:asciiTheme="majorHAnsi" w:eastAsiaTheme="minorEastAsia" w:hAnsiTheme="majorHAnsi" w:cs="ITCAvantGardeStd-BkCn"/>
          <w:b/>
          <w:bCs/>
          <w:color w:val="000000"/>
        </w:rPr>
        <w:t>Step 2: Small Group Discussion.</w:t>
      </w:r>
      <w:r w:rsidRPr="00A318FF">
        <w:rPr>
          <w:rFonts w:asciiTheme="majorHAnsi" w:eastAsiaTheme="minorEastAsia" w:hAnsiTheme="majorHAnsi" w:cs="ITCAvantGardeStd-BkCn"/>
          <w:color w:val="000000"/>
        </w:rPr>
        <w:t xml:space="preserve"> Those who worked on the same Principles meet to share and discuss, using the Reflective Questions bel</w:t>
      </w:r>
      <w:r>
        <w:rPr>
          <w:rFonts w:asciiTheme="majorHAnsi" w:eastAsiaTheme="minorEastAsia" w:hAnsiTheme="majorHAnsi" w:cs="ITCAvantGardeStd-BkCn"/>
          <w:color w:val="000000"/>
        </w:rPr>
        <w:t>ow. Each team prepares a report</w:t>
      </w:r>
      <w:r w:rsidR="00F3646B" w:rsidRPr="00F3646B">
        <w:rPr>
          <w:rFonts w:asciiTheme="majorHAnsi" w:eastAsiaTheme="minorEastAsia" w:hAnsiTheme="majorHAnsi" w:cs="ITCAvantGardeStd-BkCn"/>
          <w:color w:val="000000"/>
        </w:rPr>
        <w:t>.</w:t>
      </w:r>
    </w:p>
    <w:p w14:paraId="6F047A6C" w14:textId="77777777" w:rsidR="00A318FF" w:rsidRPr="00A318FF" w:rsidRDefault="00A318FF" w:rsidP="00A318FF">
      <w:pPr>
        <w:tabs>
          <w:tab w:val="left" w:pos="90"/>
        </w:tabs>
        <w:spacing w:line="240" w:lineRule="auto"/>
        <w:ind w:left="576" w:hanging="288"/>
        <w:rPr>
          <w:rFonts w:asciiTheme="majorHAnsi" w:eastAsiaTheme="minorEastAsia" w:hAnsiTheme="majorHAnsi" w:cs="ITCAvantGardeStd-BkCn"/>
          <w:color w:val="000000"/>
        </w:rPr>
      </w:pPr>
      <w:r w:rsidRPr="00A318FF">
        <w:rPr>
          <w:rFonts w:asciiTheme="majorHAnsi" w:eastAsiaTheme="minorEastAsia" w:hAnsiTheme="majorHAnsi" w:cs="ITCAvantGardeStd-BkCn"/>
          <w:color w:val="000000"/>
        </w:rPr>
        <w:t>•</w:t>
      </w:r>
      <w:r w:rsidRPr="00A318FF">
        <w:rPr>
          <w:rFonts w:asciiTheme="majorHAnsi" w:eastAsiaTheme="minorEastAsia" w:hAnsiTheme="majorHAnsi" w:cs="ITCAvantGardeStd-BkCn"/>
          <w:color w:val="000000"/>
        </w:rPr>
        <w:tab/>
        <w:t xml:space="preserve">What did you learn from this process? Of the Good Practice </w:t>
      </w:r>
      <w:proofErr w:type="gramStart"/>
      <w:r w:rsidRPr="00A318FF">
        <w:rPr>
          <w:rFonts w:asciiTheme="majorHAnsi" w:eastAsiaTheme="minorEastAsia" w:hAnsiTheme="majorHAnsi" w:cs="ITCAvantGardeStd-BkCn"/>
          <w:color w:val="000000"/>
        </w:rPr>
        <w:t>Principles</w:t>
      </w:r>
      <w:proofErr w:type="gramEnd"/>
      <w:r w:rsidRPr="00A318FF">
        <w:rPr>
          <w:rFonts w:asciiTheme="majorHAnsi" w:eastAsiaTheme="minorEastAsia" w:hAnsiTheme="majorHAnsi" w:cs="ITCAvantGardeStd-BkCn"/>
          <w:color w:val="000000"/>
        </w:rPr>
        <w:t xml:space="preserve"> you focused on, which one(s) did you find most interesting or important? </w:t>
      </w:r>
    </w:p>
    <w:p w14:paraId="19D966EA" w14:textId="77777777" w:rsidR="00A318FF" w:rsidRPr="00A318FF" w:rsidRDefault="00A318FF" w:rsidP="00A318FF">
      <w:pPr>
        <w:tabs>
          <w:tab w:val="left" w:pos="90"/>
        </w:tabs>
        <w:spacing w:line="240" w:lineRule="auto"/>
        <w:ind w:left="576" w:hanging="288"/>
        <w:rPr>
          <w:rFonts w:asciiTheme="majorHAnsi" w:eastAsiaTheme="minorEastAsia" w:hAnsiTheme="majorHAnsi" w:cs="ITCAvantGardeStd-BkCn"/>
          <w:color w:val="000000"/>
        </w:rPr>
      </w:pPr>
      <w:r w:rsidRPr="00A318FF">
        <w:rPr>
          <w:rFonts w:asciiTheme="majorHAnsi" w:eastAsiaTheme="minorEastAsia" w:hAnsiTheme="majorHAnsi" w:cs="ITCAvantGardeStd-BkCn"/>
          <w:color w:val="000000"/>
        </w:rPr>
        <w:t>•</w:t>
      </w:r>
      <w:r w:rsidRPr="00A318FF">
        <w:rPr>
          <w:rFonts w:asciiTheme="majorHAnsi" w:eastAsiaTheme="minorEastAsia" w:hAnsiTheme="majorHAnsi" w:cs="ITCAvantGardeStd-BkCn"/>
          <w:color w:val="000000"/>
        </w:rPr>
        <w:tab/>
        <w:t xml:space="preserve">What steps for strengthening the integration and support for professional learning emerged as you examined these Principles? </w:t>
      </w:r>
    </w:p>
    <w:p w14:paraId="03A4F363" w14:textId="72730CE9" w:rsidR="00F3646B" w:rsidRPr="00F3646B" w:rsidRDefault="00A318FF" w:rsidP="00A318FF">
      <w:pPr>
        <w:tabs>
          <w:tab w:val="left" w:pos="90"/>
        </w:tabs>
        <w:spacing w:line="240" w:lineRule="auto"/>
        <w:ind w:left="576" w:hanging="288"/>
        <w:rPr>
          <w:rFonts w:asciiTheme="majorHAnsi" w:eastAsiaTheme="minorEastAsia" w:hAnsiTheme="majorHAnsi" w:cs="ITCAvantGardeStd-BkCn"/>
          <w:color w:val="000000"/>
        </w:rPr>
      </w:pPr>
      <w:r w:rsidRPr="00A318FF">
        <w:rPr>
          <w:rFonts w:asciiTheme="majorHAnsi" w:eastAsiaTheme="minorEastAsia" w:hAnsiTheme="majorHAnsi" w:cs="ITCAvantGardeStd-BkCn"/>
          <w:color w:val="000000"/>
        </w:rPr>
        <w:t>•</w:t>
      </w:r>
      <w:r w:rsidRPr="00A318FF">
        <w:rPr>
          <w:rFonts w:asciiTheme="majorHAnsi" w:eastAsiaTheme="minorEastAsia" w:hAnsiTheme="majorHAnsi" w:cs="ITCAvantGardeStd-BkCn"/>
          <w:color w:val="000000"/>
        </w:rPr>
        <w:tab/>
        <w:t>What steps will be simple? What will be more complex? What changes can we make in the short run? Wh</w:t>
      </w:r>
      <w:r>
        <w:rPr>
          <w:rFonts w:asciiTheme="majorHAnsi" w:eastAsiaTheme="minorEastAsia" w:hAnsiTheme="majorHAnsi" w:cs="ITCAvantGardeStd-BkCn"/>
          <w:color w:val="000000"/>
        </w:rPr>
        <w:t>at will take a long-term effort</w:t>
      </w:r>
      <w:r w:rsidR="00F3646B" w:rsidRPr="00F3646B">
        <w:rPr>
          <w:rFonts w:asciiTheme="majorHAnsi" w:eastAsiaTheme="minorEastAsia" w:hAnsiTheme="majorHAnsi" w:cs="ITCAvantGardeStd-BkCn"/>
          <w:color w:val="000000"/>
        </w:rPr>
        <w:t xml:space="preserve">? </w:t>
      </w:r>
    </w:p>
    <w:p w14:paraId="6A19D7A2" w14:textId="3F4BEB3B" w:rsidR="00F3646B" w:rsidRPr="00F3646B" w:rsidRDefault="00A318FF" w:rsidP="00A318FF">
      <w:pPr>
        <w:tabs>
          <w:tab w:val="left" w:pos="90"/>
        </w:tabs>
        <w:spacing w:line="240" w:lineRule="auto"/>
        <w:ind w:left="-274"/>
        <w:rPr>
          <w:rFonts w:asciiTheme="majorHAnsi" w:eastAsiaTheme="minorEastAsia" w:hAnsiTheme="majorHAnsi" w:cs="ITCAvantGardeStd-BkCn"/>
          <w:color w:val="000000"/>
        </w:rPr>
      </w:pPr>
      <w:r w:rsidRPr="00A318FF">
        <w:rPr>
          <w:rFonts w:asciiTheme="majorHAnsi" w:eastAsiaTheme="minorEastAsia" w:hAnsiTheme="majorHAnsi" w:cs="ITCAvantGardeStd-BkCn"/>
          <w:color w:val="000000"/>
        </w:rPr>
        <w:t xml:space="preserve">After everyone has had a chance to share, work as a group to prepare a report to the larger team. You may want to create notes on poster </w:t>
      </w:r>
      <w:r>
        <w:rPr>
          <w:rFonts w:asciiTheme="majorHAnsi" w:eastAsiaTheme="minorEastAsia" w:hAnsiTheme="majorHAnsi" w:cs="ITCAvantGardeStd-BkCn"/>
          <w:color w:val="000000"/>
        </w:rPr>
        <w:t>paper to facilitate your report</w:t>
      </w:r>
      <w:r w:rsidR="00F3646B" w:rsidRPr="00F3646B">
        <w:rPr>
          <w:rFonts w:asciiTheme="majorHAnsi" w:eastAsiaTheme="minorEastAsia" w:hAnsiTheme="majorHAnsi" w:cs="ITCAvantGardeStd-BkCn"/>
          <w:color w:val="000000"/>
        </w:rPr>
        <w:t xml:space="preserve">. </w:t>
      </w:r>
    </w:p>
    <w:p w14:paraId="7C72444E" w14:textId="7924FD49" w:rsidR="00F3646B" w:rsidRPr="00F3646B" w:rsidRDefault="008B3B6D" w:rsidP="008B3B6D">
      <w:pPr>
        <w:tabs>
          <w:tab w:val="left" w:pos="90"/>
        </w:tabs>
        <w:spacing w:line="240" w:lineRule="auto"/>
        <w:ind w:left="576" w:hanging="288"/>
        <w:rPr>
          <w:rFonts w:asciiTheme="majorHAnsi" w:eastAsiaTheme="minorEastAsia" w:hAnsiTheme="majorHAnsi" w:cs="ITCAvantGardeStd-BkCn"/>
          <w:color w:val="000000"/>
        </w:rPr>
      </w:pPr>
      <w:r w:rsidRPr="008B3B6D">
        <w:rPr>
          <w:rFonts w:asciiTheme="majorHAnsi" w:eastAsiaTheme="minorEastAsia" w:hAnsiTheme="majorHAnsi" w:cs="ITCAvantGardeStd-BkCn"/>
          <w:color w:val="000000"/>
        </w:rPr>
        <w:t>•</w:t>
      </w:r>
      <w:r w:rsidRPr="008B3B6D">
        <w:rPr>
          <w:rFonts w:asciiTheme="majorHAnsi" w:eastAsiaTheme="minorEastAsia" w:hAnsiTheme="majorHAnsi" w:cs="ITCAvantGardeStd-BkCn"/>
          <w:color w:val="000000"/>
        </w:rPr>
        <w:tab/>
        <w:t xml:space="preserve">List two to four Good Practice Principles that your group wants to highlight as strategically important. Be prepared to explain your choices to the team and to identify possible </w:t>
      </w:r>
      <w:r>
        <w:rPr>
          <w:rFonts w:asciiTheme="majorHAnsi" w:eastAsiaTheme="minorEastAsia" w:hAnsiTheme="majorHAnsi" w:cs="ITCAvantGardeStd-BkCn"/>
          <w:color w:val="000000"/>
        </w:rPr>
        <w:t>steps that your team could take</w:t>
      </w:r>
      <w:r w:rsidR="00F3646B" w:rsidRPr="00F3646B">
        <w:rPr>
          <w:rFonts w:asciiTheme="majorHAnsi" w:eastAsiaTheme="minorEastAsia" w:hAnsiTheme="majorHAnsi" w:cs="ITCAvantGardeStd-BkCn"/>
          <w:color w:val="000000"/>
        </w:rPr>
        <w:t>.</w:t>
      </w:r>
    </w:p>
    <w:p w14:paraId="46B3581A" w14:textId="5B746D75" w:rsidR="00F3646B" w:rsidRPr="008B3B6D" w:rsidRDefault="008B3B6D" w:rsidP="008B3B6D">
      <w:pPr>
        <w:tabs>
          <w:tab w:val="left" w:pos="90"/>
        </w:tabs>
        <w:spacing w:line="240" w:lineRule="auto"/>
        <w:ind w:left="-274"/>
        <w:rPr>
          <w:rFonts w:asciiTheme="majorHAnsi" w:eastAsiaTheme="minorEastAsia" w:hAnsiTheme="majorHAnsi" w:cs="ITCAvantGardeStd-BkCn"/>
          <w:bCs/>
          <w:color w:val="000000"/>
        </w:rPr>
      </w:pPr>
      <w:r w:rsidRPr="008B3B6D">
        <w:rPr>
          <w:rFonts w:asciiTheme="majorHAnsi" w:eastAsiaTheme="minorEastAsia" w:hAnsiTheme="majorHAnsi" w:cs="ITCAvantGardeStd-BkCn"/>
          <w:b/>
          <w:bCs/>
          <w:color w:val="000000"/>
        </w:rPr>
        <w:t xml:space="preserve">Step 3: Whole Team Discussion. </w:t>
      </w:r>
      <w:r w:rsidRPr="008B3B6D">
        <w:rPr>
          <w:rFonts w:asciiTheme="majorHAnsi" w:eastAsiaTheme="minorEastAsia" w:hAnsiTheme="majorHAnsi" w:cs="ITCAvantGardeStd-BkCn"/>
          <w:bCs/>
          <w:color w:val="000000"/>
        </w:rPr>
        <w:t>Subgroups come together to share reports and consider strategies for future action, using the prompts below. Save notes for future use</w:t>
      </w:r>
      <w:r w:rsidR="00F3646B" w:rsidRPr="008B3B6D">
        <w:rPr>
          <w:rFonts w:asciiTheme="majorHAnsi" w:eastAsiaTheme="minorEastAsia" w:hAnsiTheme="majorHAnsi" w:cs="ITCAvantGardeStd-BkCn"/>
          <w:color w:val="000000"/>
        </w:rPr>
        <w:t xml:space="preserve">. </w:t>
      </w:r>
    </w:p>
    <w:p w14:paraId="7D7C231D" w14:textId="77777777" w:rsidR="008B3B6D" w:rsidRPr="008B3B6D" w:rsidRDefault="008B3B6D" w:rsidP="008B3B6D">
      <w:pPr>
        <w:tabs>
          <w:tab w:val="left" w:pos="90"/>
        </w:tabs>
        <w:spacing w:line="240" w:lineRule="auto"/>
        <w:ind w:left="576" w:hanging="288"/>
        <w:rPr>
          <w:rFonts w:asciiTheme="majorHAnsi" w:eastAsiaTheme="minorEastAsia" w:hAnsiTheme="majorHAnsi" w:cs="ITCAvantGardeStd-BkCn"/>
          <w:color w:val="000000"/>
        </w:rPr>
      </w:pPr>
      <w:r w:rsidRPr="008B3B6D">
        <w:rPr>
          <w:rFonts w:asciiTheme="majorHAnsi" w:eastAsiaTheme="minorEastAsia" w:hAnsiTheme="majorHAnsi" w:cs="ITCAvantGardeStd-BkCn"/>
          <w:color w:val="000000"/>
        </w:rPr>
        <w:t>•</w:t>
      </w:r>
      <w:r w:rsidRPr="008B3B6D">
        <w:rPr>
          <w:rFonts w:asciiTheme="majorHAnsi" w:eastAsiaTheme="minorEastAsia" w:hAnsiTheme="majorHAnsi" w:cs="ITCAvantGardeStd-BkCn"/>
          <w:color w:val="000000"/>
        </w:rPr>
        <w:tab/>
        <w:t xml:space="preserve">Review the Principles identified by the small groups. Create a list of perhaps four to five that we want to spotlight for future action and discussion. </w:t>
      </w:r>
    </w:p>
    <w:p w14:paraId="1E5C021A" w14:textId="77777777" w:rsidR="008B3B6D" w:rsidRPr="008B3B6D" w:rsidRDefault="008B3B6D" w:rsidP="008B3B6D">
      <w:pPr>
        <w:tabs>
          <w:tab w:val="left" w:pos="90"/>
        </w:tabs>
        <w:spacing w:line="240" w:lineRule="auto"/>
        <w:ind w:left="576" w:hanging="288"/>
        <w:rPr>
          <w:rFonts w:asciiTheme="majorHAnsi" w:eastAsiaTheme="minorEastAsia" w:hAnsiTheme="majorHAnsi" w:cs="ITCAvantGardeStd-BkCn"/>
          <w:color w:val="000000"/>
        </w:rPr>
      </w:pPr>
      <w:r w:rsidRPr="008B3B6D">
        <w:rPr>
          <w:rFonts w:asciiTheme="majorHAnsi" w:eastAsiaTheme="minorEastAsia" w:hAnsiTheme="majorHAnsi" w:cs="ITCAvantGardeStd-BkCn"/>
          <w:color w:val="000000"/>
        </w:rPr>
        <w:lastRenderedPageBreak/>
        <w:t>•</w:t>
      </w:r>
      <w:r w:rsidRPr="008B3B6D">
        <w:rPr>
          <w:rFonts w:asciiTheme="majorHAnsi" w:eastAsiaTheme="minorEastAsia" w:hAnsiTheme="majorHAnsi" w:cs="ITCAvantGardeStd-BkCn"/>
          <w:color w:val="000000"/>
        </w:rPr>
        <w:tab/>
        <w:t>How could we begin to bolster support for our professional learning practice with these Principles in mind? Who would we need to involve in the conversation? How would we make our case?</w:t>
      </w:r>
    </w:p>
    <w:p w14:paraId="7EC26A86" w14:textId="01C89B10" w:rsidR="00F3646B" w:rsidRPr="00F3646B" w:rsidRDefault="008B3B6D" w:rsidP="008B3B6D">
      <w:pPr>
        <w:tabs>
          <w:tab w:val="left" w:pos="90"/>
        </w:tabs>
        <w:spacing w:line="240" w:lineRule="auto"/>
        <w:ind w:left="576" w:hanging="288"/>
        <w:rPr>
          <w:rFonts w:asciiTheme="majorHAnsi" w:eastAsiaTheme="minorEastAsia" w:hAnsiTheme="majorHAnsi" w:cs="ITCAvantGardeStd-BkCn"/>
          <w:color w:val="000000"/>
        </w:rPr>
      </w:pPr>
      <w:r w:rsidRPr="008B3B6D">
        <w:rPr>
          <w:rFonts w:asciiTheme="majorHAnsi" w:eastAsiaTheme="minorEastAsia" w:hAnsiTheme="majorHAnsi" w:cs="ITCAvantGardeStd-BkCn"/>
          <w:color w:val="000000"/>
        </w:rPr>
        <w:t>•</w:t>
      </w:r>
      <w:r w:rsidRPr="008B3B6D">
        <w:rPr>
          <w:rFonts w:asciiTheme="majorHAnsi" w:eastAsiaTheme="minorEastAsia" w:hAnsiTheme="majorHAnsi" w:cs="ITCAvantGardeStd-BkCn"/>
          <w:color w:val="000000"/>
        </w:rPr>
        <w:tab/>
        <w:t xml:space="preserve">What do we need to know more about? What aspects of high-impact professional learning practice do we need to understand better? </w:t>
      </w:r>
      <w:r>
        <w:rPr>
          <w:rFonts w:asciiTheme="majorHAnsi" w:eastAsiaTheme="minorEastAsia" w:hAnsiTheme="majorHAnsi" w:cs="ITCAvantGardeStd-BkCn"/>
          <w:color w:val="000000"/>
        </w:rPr>
        <w:t>What resources might we explore</w:t>
      </w:r>
      <w:r w:rsidR="00F3646B" w:rsidRPr="00F3646B">
        <w:rPr>
          <w:rFonts w:asciiTheme="majorHAnsi" w:eastAsiaTheme="minorEastAsia" w:hAnsiTheme="majorHAnsi" w:cs="ITCAvantGardeStd-BkCn"/>
          <w:color w:val="000000"/>
        </w:rPr>
        <w:t>?</w:t>
      </w:r>
    </w:p>
    <w:p w14:paraId="2D27BA24" w14:textId="77777777" w:rsidR="00F01571" w:rsidRPr="00F01571" w:rsidRDefault="00F01571" w:rsidP="00F01571">
      <w:pPr>
        <w:tabs>
          <w:tab w:val="left" w:pos="90"/>
        </w:tabs>
        <w:spacing w:line="240" w:lineRule="auto"/>
        <w:ind w:left="-274"/>
        <w:rPr>
          <w:rFonts w:asciiTheme="majorHAnsi" w:eastAsiaTheme="minorEastAsia" w:hAnsiTheme="majorHAnsi" w:cs="ITCAvantGardeStd-BkCn"/>
          <w:color w:val="000000"/>
        </w:rPr>
      </w:pPr>
      <w:r w:rsidRPr="00F01571">
        <w:rPr>
          <w:rFonts w:asciiTheme="majorHAnsi" w:eastAsiaTheme="minorEastAsia" w:hAnsiTheme="majorHAnsi" w:cs="ITCAvantGardeStd-BkCn"/>
          <w:color w:val="000000"/>
        </w:rPr>
        <w:t>Worksheet 4.9 invites you to specify strategic connections aligned with your teaching and learning initiative(s). How can you attract the support needed for high-impact professional learning needed to advance change?</w:t>
      </w:r>
    </w:p>
    <w:p w14:paraId="681CB2A5" w14:textId="77777777" w:rsidR="00F01571" w:rsidRPr="00F01571" w:rsidRDefault="00F01571" w:rsidP="00F01571">
      <w:pPr>
        <w:tabs>
          <w:tab w:val="left" w:pos="90"/>
        </w:tabs>
        <w:spacing w:line="240" w:lineRule="auto"/>
        <w:ind w:left="-274"/>
        <w:rPr>
          <w:rFonts w:asciiTheme="majorHAnsi" w:eastAsiaTheme="minorEastAsia" w:hAnsiTheme="majorHAnsi" w:cs="ITCAvantGardeStd-BkCn"/>
          <w:color w:val="000000"/>
        </w:rPr>
      </w:pPr>
      <w:proofErr w:type="gramStart"/>
      <w:r w:rsidRPr="00F01571">
        <w:rPr>
          <w:rFonts w:asciiTheme="majorHAnsi" w:eastAsiaTheme="minorEastAsia" w:hAnsiTheme="majorHAnsi" w:cs="ITCAvantGardeStd-BkCn"/>
          <w:color w:val="000000"/>
        </w:rPr>
        <w:t>However</w:t>
      </w:r>
      <w:proofErr w:type="gramEnd"/>
      <w:r w:rsidRPr="00F01571">
        <w:rPr>
          <w:rFonts w:asciiTheme="majorHAnsi" w:eastAsiaTheme="minorEastAsia" w:hAnsiTheme="majorHAnsi" w:cs="ITCAvantGardeStd-BkCn"/>
          <w:color w:val="000000"/>
        </w:rPr>
        <w:t xml:space="preserve"> your team decides to organize your discussion of specific Principles, it is important that at some point the whole team comes together to share and discuss insights, strategies for improvement, and ways to apply these Good Practice Principles to support teaching and learning improvement. We encourage you to create a record of the key points that emerge from this discussion.</w:t>
      </w:r>
    </w:p>
    <w:p w14:paraId="2FFE4D4B" w14:textId="77777777" w:rsidR="00F01571" w:rsidRPr="00F01571" w:rsidRDefault="00F01571" w:rsidP="00F01571">
      <w:pPr>
        <w:tabs>
          <w:tab w:val="left" w:pos="90"/>
        </w:tabs>
        <w:spacing w:line="240" w:lineRule="auto"/>
        <w:ind w:left="-274"/>
        <w:rPr>
          <w:rFonts w:asciiTheme="majorHAnsi" w:eastAsiaTheme="minorEastAsia" w:hAnsiTheme="majorHAnsi" w:cs="ITCAvantGardeStd-BkCn"/>
          <w:color w:val="000000"/>
        </w:rPr>
      </w:pPr>
      <w:r w:rsidRPr="00F01571">
        <w:rPr>
          <w:rFonts w:asciiTheme="majorHAnsi" w:eastAsiaTheme="minorEastAsia" w:hAnsiTheme="majorHAnsi" w:cs="ITCAvantGardeStd-BkCn"/>
          <w:color w:val="000000"/>
        </w:rPr>
        <w:t>In Chapter 5, we explicitly encourage teams to go back and review Worksheets from earlier chapters. With this in mind, we encourage you to retain these Worksheets and other records of your discussion, including summaries of the answers to the Reflective Prompts.</w:t>
      </w:r>
    </w:p>
    <w:p w14:paraId="222B5BBE" w14:textId="5C88C9E5" w:rsidR="00F3646B" w:rsidRPr="00F3646B" w:rsidRDefault="00F01571" w:rsidP="00F01571">
      <w:pPr>
        <w:tabs>
          <w:tab w:val="left" w:pos="90"/>
        </w:tabs>
        <w:spacing w:line="240" w:lineRule="auto"/>
        <w:ind w:left="-274"/>
        <w:rPr>
          <w:rFonts w:asciiTheme="majorHAnsi" w:eastAsiaTheme="minorEastAsia" w:hAnsiTheme="majorHAnsi" w:cs="ITCAvantGardeStd-BkCn"/>
          <w:color w:val="000000"/>
        </w:rPr>
      </w:pPr>
      <w:r w:rsidRPr="00F01571">
        <w:rPr>
          <w:rFonts w:asciiTheme="majorHAnsi" w:eastAsiaTheme="minorEastAsia" w:hAnsiTheme="majorHAnsi" w:cs="ITCAvantGardeStd-BkCn"/>
          <w:color w:val="000000"/>
        </w:rPr>
        <w:t>As in earlier chapters, the Worksheets for Chapter 4 conclude with a Making the Case Worksheet designed to help your team harvest insights from the research and evidence offered in this chapter and prepare to use that evidence to build suppor</w:t>
      </w:r>
      <w:r>
        <w:rPr>
          <w:rFonts w:asciiTheme="majorHAnsi" w:eastAsiaTheme="minorEastAsia" w:hAnsiTheme="majorHAnsi" w:cs="ITCAvantGardeStd-BkCn"/>
          <w:color w:val="000000"/>
        </w:rPr>
        <w:t>t for the work led by your team</w:t>
      </w:r>
      <w:r w:rsidR="00F3646B" w:rsidRPr="00F3646B">
        <w:rPr>
          <w:rFonts w:asciiTheme="majorHAnsi" w:eastAsiaTheme="minorEastAsia" w:hAnsiTheme="majorHAnsi" w:cs="ITCAvantGardeStd-BkCn"/>
          <w:color w:val="000000"/>
        </w:rPr>
        <w:t xml:space="preserve">. </w:t>
      </w:r>
    </w:p>
    <w:p w14:paraId="746B4157" w14:textId="77777777" w:rsidR="00F3646B" w:rsidRPr="00F3646B" w:rsidRDefault="00F3646B" w:rsidP="00F3646B">
      <w:pPr>
        <w:tabs>
          <w:tab w:val="left" w:pos="90"/>
        </w:tabs>
        <w:spacing w:line="240" w:lineRule="auto"/>
        <w:ind w:left="-274"/>
        <w:rPr>
          <w:rFonts w:asciiTheme="majorHAnsi" w:eastAsiaTheme="minorEastAsia" w:hAnsiTheme="majorHAnsi" w:cs="ITCAvantGardeStd-BkCn"/>
          <w:color w:val="000000"/>
        </w:rPr>
      </w:pPr>
    </w:p>
    <w:p w14:paraId="249D234F" w14:textId="618B7E9E" w:rsidR="00C25F18" w:rsidRDefault="00C25F18" w:rsidP="000912E6">
      <w:pPr>
        <w:tabs>
          <w:tab w:val="left" w:pos="90"/>
        </w:tabs>
        <w:spacing w:line="240" w:lineRule="auto"/>
        <w:ind w:left="-274"/>
        <w:rPr>
          <w:rFonts w:asciiTheme="majorHAnsi" w:eastAsiaTheme="minorEastAsia" w:hAnsiTheme="majorHAnsi" w:cs="ITCAvantGardeStd-BkCn"/>
          <w:color w:val="000000"/>
        </w:rPr>
      </w:pPr>
    </w:p>
    <w:p w14:paraId="2649F8A1" w14:textId="77777777" w:rsidR="005C5B86" w:rsidRDefault="005C5B86">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3B60643E" w14:textId="23935EDB" w:rsidR="00C25F18" w:rsidRPr="00B85CD2" w:rsidRDefault="00C25F18" w:rsidP="00C25F18">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6432" behindDoc="1" locked="0" layoutInCell="1" allowOverlap="1" wp14:anchorId="0F694E3E" wp14:editId="55EB6ADA">
            <wp:simplePos x="0" y="0"/>
            <wp:positionH relativeFrom="column">
              <wp:posOffset>-228600</wp:posOffset>
            </wp:positionH>
            <wp:positionV relativeFrom="paragraph">
              <wp:posOffset>3810</wp:posOffset>
            </wp:positionV>
            <wp:extent cx="5943600" cy="40174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sidR="00895625">
        <w:rPr>
          <w:rFonts w:asciiTheme="majorHAnsi" w:hAnsiTheme="majorHAnsi"/>
          <w:color w:val="FFFFFF" w:themeColor="background1"/>
          <w:position w:val="-40"/>
          <w:sz w:val="24"/>
          <w:szCs w:val="24"/>
        </w:rPr>
        <w:t>4</w:t>
      </w:r>
      <w:r w:rsidRPr="00B85CD2">
        <w:rPr>
          <w:rFonts w:asciiTheme="majorHAnsi" w:hAnsiTheme="majorHAnsi"/>
          <w:color w:val="FFFFFF" w:themeColor="background1"/>
          <w:position w:val="-40"/>
          <w:sz w:val="24"/>
          <w:szCs w:val="24"/>
        </w:rPr>
        <w:t>.</w:t>
      </w:r>
      <w:r w:rsidR="00BB245F">
        <w:rPr>
          <w:rFonts w:asciiTheme="majorHAnsi" w:hAnsiTheme="majorHAnsi"/>
          <w:color w:val="FFFFFF" w:themeColor="background1"/>
          <w:position w:val="-40"/>
          <w:sz w:val="24"/>
          <w:szCs w:val="24"/>
        </w:rPr>
        <w:t>1</w:t>
      </w:r>
    </w:p>
    <w:p w14:paraId="12E33BF5" w14:textId="55E48966" w:rsidR="00BB245F" w:rsidRPr="00BB245F" w:rsidRDefault="00BB245F" w:rsidP="00B34A1D">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895625">
        <w:rPr>
          <w:rFonts w:asciiTheme="majorHAnsi" w:hAnsiTheme="majorHAnsi"/>
          <w:color w:val="7F7F7F" w:themeColor="text1" w:themeTint="80"/>
          <w:sz w:val="36"/>
          <w:szCs w:val="36"/>
        </w:rPr>
        <w:t>9</w:t>
      </w:r>
      <w:r w:rsidRPr="00BB245F">
        <w:rPr>
          <w:rFonts w:asciiTheme="majorHAnsi" w:hAnsiTheme="majorHAnsi"/>
          <w:color w:val="7F7F7F" w:themeColor="text1" w:themeTint="80"/>
          <w:sz w:val="36"/>
          <w:szCs w:val="36"/>
        </w:rPr>
        <w:t xml:space="preserve"> (</w:t>
      </w:r>
      <w:r w:rsidR="00895625">
        <w:rPr>
          <w:rFonts w:asciiTheme="majorHAnsi" w:hAnsiTheme="majorHAnsi"/>
          <w:color w:val="7F7F7F" w:themeColor="text1" w:themeTint="80"/>
          <w:sz w:val="36"/>
          <w:szCs w:val="36"/>
        </w:rPr>
        <w:t>Institutional</w:t>
      </w:r>
      <w:r w:rsidRPr="00BB245F">
        <w:rPr>
          <w:rFonts w:asciiTheme="majorHAnsi" w:hAnsiTheme="majorHAnsi"/>
          <w:color w:val="7F7F7F" w:themeColor="text1" w:themeTint="80"/>
          <w:sz w:val="36"/>
          <w:szCs w:val="36"/>
        </w:rPr>
        <w:t xml:space="preserve"> Dimension)</w:t>
      </w:r>
      <w:r w:rsidRPr="00BB245F">
        <w:rPr>
          <w:rFonts w:asciiTheme="majorHAnsi" w:hAnsiTheme="majorHAnsi"/>
          <w:b/>
          <w:color w:val="00836C"/>
          <w:sz w:val="36"/>
          <w:szCs w:val="36"/>
        </w:rPr>
        <w:br/>
      </w:r>
      <w:r w:rsidR="00B34A1D" w:rsidRPr="00B34A1D">
        <w:rPr>
          <w:rFonts w:asciiTheme="majorHAnsi" w:hAnsiTheme="majorHAnsi"/>
          <w:b/>
          <w:color w:val="00836C"/>
          <w:sz w:val="36"/>
          <w:szCs w:val="36"/>
        </w:rPr>
        <w:t xml:space="preserve">Integrate Changes in Pedagogy, Curriculum, </w:t>
      </w:r>
      <w:r w:rsidR="00B34A1D" w:rsidRPr="00B34A1D">
        <w:rPr>
          <w:rFonts w:asciiTheme="majorHAnsi" w:hAnsiTheme="majorHAnsi"/>
          <w:b/>
          <w:color w:val="00836C"/>
          <w:sz w:val="36"/>
          <w:szCs w:val="36"/>
        </w:rPr>
        <w:br/>
        <w:t>and Assessment</w:t>
      </w:r>
    </w:p>
    <w:p w14:paraId="339714B1" w14:textId="0D0BEA72" w:rsidR="00BB245F" w:rsidRDefault="00B34A1D" w:rsidP="00B34A1D">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B34A1D">
        <w:rPr>
          <w:rFonts w:asciiTheme="majorHAnsi" w:eastAsiaTheme="minorEastAsia" w:hAnsiTheme="majorHAnsi" w:cs="ITCAvantGardeStd-BkCn"/>
          <w:color w:val="000000"/>
        </w:rPr>
        <w:t>Changes in individual practice are most powerful in concert with changes in structural dimensions of education. Deep and enduring improvement emerges from reciprocal transformations of pedagogy, curriculum, and assessment, integrated through pro</w:t>
      </w:r>
      <w:r>
        <w:rPr>
          <w:rFonts w:asciiTheme="majorHAnsi" w:eastAsiaTheme="minorEastAsia" w:hAnsiTheme="majorHAnsi" w:cs="ITCAvantGardeStd-BkCn"/>
          <w:color w:val="000000"/>
        </w:rPr>
        <w:t>fessional development processes</w:t>
      </w:r>
      <w:r w:rsidR="0043548A" w:rsidRPr="0043548A">
        <w:rPr>
          <w:rFonts w:asciiTheme="majorHAnsi" w:eastAsiaTheme="minorEastAsia" w:hAnsiTheme="majorHAnsi" w:cs="ITCAvantGardeStd-BkCn"/>
          <w:color w:val="000000"/>
        </w:rPr>
        <w:t>.</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BB245F" w:rsidRPr="00BB245F" w14:paraId="7CC01BF9" w14:textId="77777777" w:rsidTr="00005AD0">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263384AC" w14:textId="77777777" w:rsidR="00BB245F" w:rsidRPr="00BB245F" w:rsidRDefault="00BB245F" w:rsidP="00C247B0">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10369FD5" w14:textId="77777777" w:rsidR="00244B18" w:rsidRPr="00244B18" w:rsidRDefault="00244B18" w:rsidP="00244B1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44B18">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1A9E56FE" w14:textId="4FC5CB84" w:rsidR="00244B18" w:rsidRPr="00244B18" w:rsidRDefault="00244B18" w:rsidP="00244B1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44B18">
              <w:rPr>
                <w:rFonts w:asciiTheme="majorHAnsi" w:eastAsiaTheme="minorEastAsia" w:hAnsiTheme="majorHAnsi" w:cs="ITCAvantGardeStd-BkCn"/>
                <w:color w:val="000000"/>
                <w:sz w:val="20"/>
                <w:szCs w:val="20"/>
              </w:rPr>
              <w:t>A. In our area(s) of focus, curriculum is well aligned with the evidence-based pedagogy and</w:t>
            </w:r>
            <w:r>
              <w:rPr>
                <w:rFonts w:asciiTheme="majorHAnsi" w:eastAsiaTheme="minorEastAsia" w:hAnsiTheme="majorHAnsi" w:cs="ITCAvantGardeStd-BkCn"/>
                <w:color w:val="000000"/>
                <w:sz w:val="20"/>
                <w:szCs w:val="20"/>
              </w:rPr>
              <w:t xml:space="preserve"> practices we seek to advance. Rate: 1 – 2 – 3 – 4 – 5</w:t>
            </w:r>
          </w:p>
          <w:p w14:paraId="477C12FC" w14:textId="6F9DB4CF" w:rsidR="00244B18" w:rsidRPr="00244B18" w:rsidRDefault="00244B18" w:rsidP="00244B1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44B18">
              <w:rPr>
                <w:rFonts w:asciiTheme="majorHAnsi" w:eastAsiaTheme="minorEastAsia" w:hAnsiTheme="majorHAnsi" w:cs="ITCAvantGardeStd-BkCn"/>
                <w:color w:val="000000"/>
                <w:sz w:val="20"/>
                <w:szCs w:val="20"/>
              </w:rPr>
              <w:t>B. The changes we seek to make in pedagogy and practice will help faculty and students address campus-wide student learning ou</w:t>
            </w:r>
            <w:r>
              <w:rPr>
                <w:rFonts w:asciiTheme="majorHAnsi" w:eastAsiaTheme="minorEastAsia" w:hAnsiTheme="majorHAnsi" w:cs="ITCAvantGardeStd-BkCn"/>
                <w:color w:val="000000"/>
                <w:sz w:val="20"/>
                <w:szCs w:val="20"/>
              </w:rPr>
              <w:t>tcomes. Rate: 1 – 2 – 3 – 4 – 5</w:t>
            </w:r>
          </w:p>
          <w:p w14:paraId="7DF116AC" w14:textId="26521F74" w:rsidR="00244B18" w:rsidRPr="00244B18" w:rsidRDefault="00244B18" w:rsidP="00244B1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44B18">
              <w:rPr>
                <w:rFonts w:asciiTheme="majorHAnsi" w:eastAsiaTheme="minorEastAsia" w:hAnsiTheme="majorHAnsi" w:cs="ITCAvantGardeStd-BkCn"/>
                <w:color w:val="000000"/>
                <w:sz w:val="20"/>
                <w:szCs w:val="20"/>
              </w:rPr>
              <w:t>C. We have identified ways to use data from the assessment of student learning</w:t>
            </w:r>
            <w:r>
              <w:rPr>
                <w:rFonts w:asciiTheme="majorHAnsi" w:eastAsiaTheme="minorEastAsia" w:hAnsiTheme="majorHAnsi" w:cs="ITCAvantGardeStd-BkCn"/>
                <w:color w:val="000000"/>
                <w:sz w:val="20"/>
                <w:szCs w:val="20"/>
              </w:rPr>
              <w:t xml:space="preserve"> to guide improvement efforts. Rate: 1 – 2 – 3 – 4 – 5</w:t>
            </w:r>
          </w:p>
          <w:p w14:paraId="63101740" w14:textId="24FFCF7A" w:rsidR="00BB245F" w:rsidRPr="00BB245F" w:rsidRDefault="00244B18" w:rsidP="00244B1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244B18">
              <w:rPr>
                <w:rFonts w:asciiTheme="majorHAnsi" w:eastAsiaTheme="minorEastAsia" w:hAnsiTheme="majorHAnsi" w:cs="ITCAvantGardeStd-BkCn"/>
                <w:color w:val="000000"/>
                <w:sz w:val="20"/>
                <w:szCs w:val="20"/>
              </w:rPr>
              <w:t>D. Our professional learning programs effectively help educators consider the interplay of pedagogy, curriculum and assessment in the change process. 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B58E09E" w14:textId="77777777" w:rsidR="00BB245F" w:rsidRPr="00BB245F" w:rsidRDefault="00BB245F" w:rsidP="00C247B0">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3AC01E9D" w14:textId="77777777" w:rsidR="00992589" w:rsidRPr="00992589" w:rsidRDefault="00992589" w:rsidP="00992589">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92589">
              <w:rPr>
                <w:rFonts w:asciiTheme="majorHAnsi" w:eastAsiaTheme="minorEastAsia" w:hAnsiTheme="majorHAnsi" w:cs="ITCAvantGardeStd-BkCn"/>
                <w:color w:val="000000"/>
                <w:sz w:val="20"/>
                <w:szCs w:val="20"/>
              </w:rPr>
              <w:t>Thinking about this Good Practice Principle, your experience, and your answers to the Inquiry Starters, please briefly highlight two to three challenges and/or strengths of our practice.</w:t>
            </w:r>
          </w:p>
          <w:p w14:paraId="1BADFC98" w14:textId="2DAF5798" w:rsidR="00BB245F" w:rsidRPr="00005AD0" w:rsidRDefault="00BB245F" w:rsidP="00C247B0">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p>
        </w:tc>
      </w:tr>
      <w:tr w:rsidR="00BB245F" w:rsidRPr="00BB245F" w14:paraId="0FF5DC2C" w14:textId="77777777" w:rsidTr="00244B18">
        <w:trPr>
          <w:trHeight w:val="3428"/>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0FE079B" w14:textId="77777777" w:rsidR="00BB245F" w:rsidRPr="00005AD0" w:rsidRDefault="00BB245F" w:rsidP="00C247B0">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0359FFAE" w14:textId="77777777" w:rsidR="00244B18" w:rsidRPr="00244B18" w:rsidRDefault="00244B18" w:rsidP="00244B1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44B18">
              <w:rPr>
                <w:rFonts w:asciiTheme="majorHAnsi" w:eastAsiaTheme="minorEastAsia" w:hAnsiTheme="majorHAnsi" w:cs="ITCAvantGardeStd-BkCn"/>
                <w:color w:val="000000"/>
                <w:sz w:val="20"/>
                <w:szCs w:val="20"/>
              </w:rPr>
              <w:t>Consider one set of questions in terms of your plans. How might you address these issues in designing your work?</w:t>
            </w:r>
          </w:p>
          <w:p w14:paraId="7671BBD0" w14:textId="119E19B9" w:rsidR="00244B18" w:rsidRPr="00244B18" w:rsidRDefault="00244B18" w:rsidP="00244B1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44B18">
              <w:rPr>
                <w:rFonts w:asciiTheme="majorHAnsi" w:eastAsiaTheme="minorEastAsia" w:hAnsiTheme="majorHAnsi" w:cs="ITCAvantGardeStd-BkCn"/>
                <w:color w:val="000000"/>
                <w:sz w:val="20"/>
                <w:szCs w:val="20"/>
              </w:rPr>
              <w:t xml:space="preserve">A. What broader changes in curriculum and assessment are needed to advance the enduring effectiveness of pedagogical innovations? Who needs to be engaged in that process? </w:t>
            </w:r>
          </w:p>
          <w:p w14:paraId="043F19DF" w14:textId="77777777" w:rsidR="00244B18" w:rsidRPr="00244B18" w:rsidRDefault="00244B18" w:rsidP="00244B1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p>
          <w:p w14:paraId="0F92DB5B" w14:textId="63152DF2" w:rsidR="00BB245F" w:rsidRPr="00BB245F" w:rsidRDefault="00244B18" w:rsidP="00244B18">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244B18">
              <w:rPr>
                <w:rFonts w:asciiTheme="majorHAnsi" w:eastAsiaTheme="minorEastAsia" w:hAnsiTheme="majorHAnsi" w:cs="ITCAvantGardeStd-BkCn"/>
                <w:color w:val="000000"/>
                <w:sz w:val="20"/>
                <w:szCs w:val="20"/>
              </w:rPr>
              <w:t xml:space="preserve">B. How might our professional learning processes be adjusted to address the intersection of curriculum, assessment, and pedagogical change? </w:t>
            </w:r>
          </w:p>
        </w:tc>
      </w:tr>
    </w:tbl>
    <w:p w14:paraId="2CACA0E0" w14:textId="146F4753" w:rsidR="00842058" w:rsidRPr="00BB245F" w:rsidRDefault="00842058" w:rsidP="00BB245F">
      <w:pPr>
        <w:widowControl w:val="0"/>
        <w:autoSpaceDE w:val="0"/>
        <w:autoSpaceDN w:val="0"/>
        <w:adjustRightInd w:val="0"/>
        <w:spacing w:after="180" w:line="300" w:lineRule="atLeast"/>
        <w:ind w:left="-270"/>
        <w:textAlignment w:val="center"/>
        <w:rPr>
          <w:rFonts w:asciiTheme="majorHAnsi" w:eastAsiaTheme="minorEastAsia" w:hAnsiTheme="majorHAnsi" w:cs="ITCAvantGardeStd-BkCn"/>
          <w:color w:val="000000"/>
        </w:rPr>
      </w:pPr>
    </w:p>
    <w:p w14:paraId="6B051245" w14:textId="4F96BA4E" w:rsidR="003274F0" w:rsidRPr="00B85CD2" w:rsidRDefault="00F07678" w:rsidP="003274F0">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003274F0"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8480" behindDoc="1" locked="0" layoutInCell="1" allowOverlap="1" wp14:anchorId="6EFFE494" wp14:editId="69F0E618">
            <wp:simplePos x="0" y="0"/>
            <wp:positionH relativeFrom="column">
              <wp:posOffset>-228600</wp:posOffset>
            </wp:positionH>
            <wp:positionV relativeFrom="paragraph">
              <wp:posOffset>3810</wp:posOffset>
            </wp:positionV>
            <wp:extent cx="5943600" cy="40174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3274F0" w:rsidRPr="00B85CD2">
        <w:rPr>
          <w:rFonts w:asciiTheme="majorHAnsi" w:hAnsiTheme="majorHAnsi"/>
          <w:color w:val="FFFFFF" w:themeColor="background1"/>
          <w:position w:val="-40"/>
          <w:sz w:val="24"/>
          <w:szCs w:val="24"/>
        </w:rPr>
        <w:t xml:space="preserve">Worksheet </w:t>
      </w:r>
      <w:r w:rsidR="00895625">
        <w:rPr>
          <w:rFonts w:asciiTheme="majorHAnsi" w:hAnsiTheme="majorHAnsi"/>
          <w:color w:val="FFFFFF" w:themeColor="background1"/>
          <w:position w:val="-40"/>
          <w:sz w:val="24"/>
          <w:szCs w:val="24"/>
        </w:rPr>
        <w:t>4</w:t>
      </w:r>
      <w:r w:rsidR="003274F0" w:rsidRPr="00B85CD2">
        <w:rPr>
          <w:rFonts w:asciiTheme="majorHAnsi" w:hAnsiTheme="majorHAnsi"/>
          <w:color w:val="FFFFFF" w:themeColor="background1"/>
          <w:position w:val="-40"/>
          <w:sz w:val="24"/>
          <w:szCs w:val="24"/>
        </w:rPr>
        <w:t>.</w:t>
      </w:r>
      <w:r w:rsidR="003274F0">
        <w:rPr>
          <w:rFonts w:asciiTheme="majorHAnsi" w:hAnsiTheme="majorHAnsi"/>
          <w:color w:val="FFFFFF" w:themeColor="background1"/>
          <w:position w:val="-40"/>
          <w:sz w:val="24"/>
          <w:szCs w:val="24"/>
        </w:rPr>
        <w:t>2</w:t>
      </w:r>
    </w:p>
    <w:p w14:paraId="3C9AD4FB" w14:textId="266E79FD" w:rsidR="003274F0" w:rsidRPr="00BB245F" w:rsidRDefault="003274F0" w:rsidP="00992589">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895625">
        <w:rPr>
          <w:rFonts w:asciiTheme="majorHAnsi" w:hAnsiTheme="majorHAnsi"/>
          <w:color w:val="7F7F7F" w:themeColor="text1" w:themeTint="80"/>
          <w:sz w:val="36"/>
          <w:szCs w:val="36"/>
        </w:rPr>
        <w:t>10</w:t>
      </w:r>
      <w:r w:rsidRPr="00BB245F">
        <w:rPr>
          <w:rFonts w:asciiTheme="majorHAnsi" w:hAnsiTheme="majorHAnsi"/>
          <w:color w:val="7F7F7F" w:themeColor="text1" w:themeTint="80"/>
          <w:sz w:val="36"/>
          <w:szCs w:val="36"/>
        </w:rPr>
        <w:t xml:space="preserve"> (</w:t>
      </w:r>
      <w:r w:rsidR="00895625">
        <w:rPr>
          <w:rFonts w:asciiTheme="majorHAnsi" w:hAnsiTheme="majorHAnsi"/>
          <w:color w:val="7F7F7F" w:themeColor="text1" w:themeTint="80"/>
          <w:sz w:val="36"/>
          <w:szCs w:val="36"/>
        </w:rPr>
        <w:t>Institutional</w:t>
      </w:r>
      <w:r w:rsidR="00895625" w:rsidRPr="00BB245F">
        <w:rPr>
          <w:rFonts w:asciiTheme="majorHAnsi" w:hAnsiTheme="majorHAnsi"/>
          <w:color w:val="7F7F7F" w:themeColor="text1" w:themeTint="80"/>
          <w:sz w:val="36"/>
          <w:szCs w:val="36"/>
        </w:rPr>
        <w:t xml:space="preserve"> </w:t>
      </w:r>
      <w:r w:rsidRPr="00BB245F">
        <w:rPr>
          <w:rFonts w:asciiTheme="majorHAnsi" w:hAnsiTheme="majorHAnsi"/>
          <w:color w:val="7F7F7F" w:themeColor="text1" w:themeTint="80"/>
          <w:sz w:val="36"/>
          <w:szCs w:val="36"/>
        </w:rPr>
        <w:t>Dimension)</w:t>
      </w:r>
      <w:r w:rsidRPr="00BB245F">
        <w:rPr>
          <w:rFonts w:asciiTheme="majorHAnsi" w:hAnsiTheme="majorHAnsi"/>
          <w:b/>
          <w:color w:val="00836C"/>
          <w:sz w:val="36"/>
          <w:szCs w:val="36"/>
        </w:rPr>
        <w:br/>
      </w:r>
      <w:r w:rsidR="00992589" w:rsidRPr="00992589">
        <w:rPr>
          <w:rFonts w:asciiTheme="majorHAnsi" w:hAnsiTheme="majorHAnsi"/>
          <w:b/>
          <w:color w:val="00836C"/>
          <w:sz w:val="36"/>
          <w:szCs w:val="36"/>
        </w:rPr>
        <w:t>Connect Professional Development with Strategic Priorities</w:t>
      </w:r>
    </w:p>
    <w:p w14:paraId="1AE97B06" w14:textId="2B6DED0C" w:rsidR="003274F0" w:rsidRDefault="00992589" w:rsidP="00992589">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992589">
        <w:rPr>
          <w:rFonts w:asciiTheme="majorHAnsi" w:eastAsiaTheme="minorEastAsia" w:hAnsiTheme="majorHAnsi" w:cs="ITCAvantGardeStd-BkCn"/>
          <w:color w:val="000000"/>
        </w:rPr>
        <w:t>Move beyond a cafeteria model of professional development toward strategic models aligned with institutional goals and supp</w:t>
      </w:r>
      <w:r>
        <w:rPr>
          <w:rFonts w:asciiTheme="majorHAnsi" w:eastAsiaTheme="minorEastAsia" w:hAnsiTheme="majorHAnsi" w:cs="ITCAvantGardeStd-BkCn"/>
          <w:color w:val="000000"/>
        </w:rPr>
        <w:t>orted with resource allocations</w:t>
      </w:r>
      <w:r w:rsidR="003274F0" w:rsidRPr="003274F0">
        <w:rPr>
          <w:rFonts w:asciiTheme="majorHAnsi" w:eastAsiaTheme="minorEastAsia" w:hAnsiTheme="majorHAnsi" w:cs="ITCAvantGardeStd-BkCn"/>
          <w:color w:val="000000"/>
        </w:rPr>
        <w:t>.</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3274F0" w:rsidRPr="00BB245F" w14:paraId="60DA1E2D"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0A2166DB" w14:textId="77777777" w:rsidR="003274F0" w:rsidRPr="00BB245F" w:rsidRDefault="003274F0"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191B7C7A" w14:textId="77777777" w:rsidR="007E67FB" w:rsidRPr="007E67FB" w:rsidRDefault="007E67FB" w:rsidP="007E67FB">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7E67FB">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4E83150F" w14:textId="16B6C7F3" w:rsidR="007E67FB" w:rsidRPr="007E67FB" w:rsidRDefault="007E67FB" w:rsidP="007E67FB">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7E67FB">
              <w:rPr>
                <w:rFonts w:asciiTheme="majorHAnsi" w:eastAsiaTheme="minorEastAsia" w:hAnsiTheme="majorHAnsi" w:cs="ITCAvantGardeStd-BkCn"/>
                <w:color w:val="000000"/>
                <w:sz w:val="20"/>
                <w:szCs w:val="20"/>
              </w:rPr>
              <w:t xml:space="preserve">A. The advances in evidence-based pedagogy and practice we seek to make align with strategic institutional improvement priorities. </w:t>
            </w:r>
            <w:r>
              <w:rPr>
                <w:rFonts w:asciiTheme="majorHAnsi" w:eastAsiaTheme="minorEastAsia" w:hAnsiTheme="majorHAnsi" w:cs="ITCAvantGardeStd-BkCn"/>
                <w:color w:val="000000"/>
                <w:sz w:val="20"/>
                <w:szCs w:val="20"/>
              </w:rPr>
              <w:br/>
              <w:t>Rate: 1 – 2 – 3 – 4 – 5</w:t>
            </w:r>
          </w:p>
          <w:p w14:paraId="15CBB7E5" w14:textId="2897816F" w:rsidR="007E67FB" w:rsidRPr="007E67FB" w:rsidRDefault="007E67FB" w:rsidP="007E67FB">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7E67FB">
              <w:rPr>
                <w:rFonts w:asciiTheme="majorHAnsi" w:eastAsiaTheme="minorEastAsia" w:hAnsiTheme="majorHAnsi" w:cs="ITCAvantGardeStd-BkCn"/>
                <w:color w:val="000000"/>
                <w:sz w:val="20"/>
                <w:szCs w:val="20"/>
              </w:rPr>
              <w:t xml:space="preserve">B. Our professional learning and pedagogical change effort has been (or will be) recognized in our institution-wide strategic planning process. </w:t>
            </w:r>
            <w:r>
              <w:rPr>
                <w:rFonts w:asciiTheme="majorHAnsi" w:eastAsiaTheme="minorEastAsia" w:hAnsiTheme="majorHAnsi" w:cs="ITCAvantGardeStd-BkCn"/>
                <w:color w:val="000000"/>
                <w:sz w:val="20"/>
                <w:szCs w:val="20"/>
              </w:rPr>
              <w:br/>
            </w:r>
            <w:r w:rsidRPr="007E67FB">
              <w:rPr>
                <w:rFonts w:asciiTheme="majorHAnsi" w:eastAsiaTheme="minorEastAsia" w:hAnsiTheme="majorHAnsi" w:cs="ITCAvantGardeStd-BkCn"/>
                <w:color w:val="000000"/>
                <w:sz w:val="20"/>
                <w:szCs w:val="20"/>
              </w:rPr>
              <w:t xml:space="preserve">Rate: 1 – 2 – </w:t>
            </w:r>
            <w:r>
              <w:rPr>
                <w:rFonts w:asciiTheme="majorHAnsi" w:eastAsiaTheme="minorEastAsia" w:hAnsiTheme="majorHAnsi" w:cs="ITCAvantGardeStd-BkCn"/>
                <w:color w:val="000000"/>
                <w:sz w:val="20"/>
                <w:szCs w:val="20"/>
              </w:rPr>
              <w:t>3 – 4 – 5</w:t>
            </w:r>
          </w:p>
          <w:p w14:paraId="435A7EB1" w14:textId="49B0BC7A" w:rsidR="007E67FB" w:rsidRPr="007E67FB" w:rsidRDefault="007E67FB" w:rsidP="007E67FB">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7E67FB">
              <w:rPr>
                <w:rFonts w:asciiTheme="majorHAnsi" w:eastAsiaTheme="minorEastAsia" w:hAnsiTheme="majorHAnsi" w:cs="ITCAvantGardeStd-BkCn"/>
                <w:color w:val="000000"/>
                <w:sz w:val="20"/>
                <w:szCs w:val="20"/>
              </w:rPr>
              <w:t xml:space="preserve">C. Our professional learning and pedagogical change effort is embedded in the strategic planning process at the appropriate departmental and divisional </w:t>
            </w:r>
            <w:r>
              <w:rPr>
                <w:rFonts w:asciiTheme="majorHAnsi" w:eastAsiaTheme="minorEastAsia" w:hAnsiTheme="majorHAnsi" w:cs="ITCAvantGardeStd-BkCn"/>
                <w:color w:val="000000"/>
                <w:sz w:val="20"/>
                <w:szCs w:val="20"/>
              </w:rPr>
              <w:t>levels. Rate: 1 – 2 – 3 – 4 – 5</w:t>
            </w:r>
          </w:p>
          <w:p w14:paraId="32B5CBC7" w14:textId="30E3B6B6" w:rsidR="003274F0" w:rsidRPr="00BB245F" w:rsidRDefault="007E67FB" w:rsidP="007E67FB">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7E67FB">
              <w:rPr>
                <w:rFonts w:asciiTheme="majorHAnsi" w:eastAsiaTheme="minorEastAsia" w:hAnsiTheme="majorHAnsi" w:cs="ITCAvantGardeStd-BkCn"/>
                <w:color w:val="000000"/>
                <w:sz w:val="20"/>
                <w:szCs w:val="20"/>
              </w:rPr>
              <w:t>D. Our professional learning and pedagogical change effort is considered as part of th</w:t>
            </w:r>
            <w:r>
              <w:rPr>
                <w:rFonts w:asciiTheme="majorHAnsi" w:eastAsiaTheme="minorEastAsia" w:hAnsiTheme="majorHAnsi" w:cs="ITCAvantGardeStd-BkCn"/>
                <w:color w:val="000000"/>
                <w:sz w:val="20"/>
                <w:szCs w:val="20"/>
              </w:rPr>
              <w:t xml:space="preserve">e resource allocation process. </w:t>
            </w:r>
            <w:r w:rsidRPr="007E67FB">
              <w:rPr>
                <w:rFonts w:asciiTheme="majorHAnsi" w:eastAsiaTheme="minorEastAsia" w:hAnsiTheme="majorHAnsi" w:cs="ITCAvantGardeStd-BkCn"/>
                <w:color w:val="000000"/>
                <w:sz w:val="20"/>
                <w:szCs w:val="20"/>
              </w:rP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35768AA" w14:textId="77777777" w:rsidR="003274F0" w:rsidRPr="00BB245F" w:rsidRDefault="003274F0"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33E4BFEE" w14:textId="77777777" w:rsidR="00992589" w:rsidRPr="00992589" w:rsidRDefault="00992589" w:rsidP="00992589">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92589">
              <w:rPr>
                <w:rFonts w:asciiTheme="majorHAnsi" w:eastAsiaTheme="minorEastAsia" w:hAnsiTheme="majorHAnsi" w:cs="ITCAvantGardeStd-BkCn"/>
                <w:color w:val="000000"/>
                <w:sz w:val="20"/>
                <w:szCs w:val="20"/>
              </w:rPr>
              <w:t>Thinking about this Good Practice Principle, your experience, and your answers to the Inquiry Starters, please briefly highlight two to three challenges and/or strengths of our practice.</w:t>
            </w:r>
          </w:p>
          <w:p w14:paraId="4B56ED4A" w14:textId="4F100035" w:rsidR="003274F0" w:rsidRPr="00005AD0"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p>
        </w:tc>
      </w:tr>
      <w:tr w:rsidR="003274F0" w:rsidRPr="00BB245F" w14:paraId="12C6C853" w14:textId="77777777" w:rsidTr="003274F0">
        <w:trPr>
          <w:trHeight w:val="3140"/>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AC48C93" w14:textId="77777777" w:rsidR="003274F0" w:rsidRPr="00005AD0" w:rsidRDefault="003274F0"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27F9EA88" w14:textId="77777777" w:rsidR="007E67FB" w:rsidRPr="007E67FB" w:rsidRDefault="007E67FB" w:rsidP="007E67FB">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7E67FB">
              <w:rPr>
                <w:rFonts w:asciiTheme="majorHAnsi" w:eastAsiaTheme="minorEastAsia" w:hAnsiTheme="majorHAnsi" w:cs="ITCAvantGardeStd-BkCn"/>
                <w:color w:val="000000"/>
                <w:sz w:val="20"/>
                <w:szCs w:val="20"/>
              </w:rPr>
              <w:t>What steps could we take to strengthen the recognition of professional learning and instructional improvement in our strategic priorities and planning processes? Who would need to be engaged to support change in this area?</w:t>
            </w:r>
          </w:p>
          <w:p w14:paraId="45E47B92" w14:textId="77777777" w:rsidR="003274F0" w:rsidRPr="00BB245F"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69655977" w14:textId="77777777" w:rsidR="003274F0" w:rsidRPr="00BB245F"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70262ABB" w14:textId="77777777" w:rsidR="003274F0" w:rsidRPr="00BB245F"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0342357C" w14:textId="77777777" w:rsidR="003274F0" w:rsidRPr="00BB245F"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1E0A78BE" w14:textId="77777777" w:rsidR="003274F0" w:rsidRPr="00BB245F" w:rsidRDefault="003274F0"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20DB851D" w14:textId="18CE0743" w:rsidR="008D55B9" w:rsidRPr="00B85CD2" w:rsidRDefault="008D55B9" w:rsidP="008D55B9">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70528" behindDoc="1" locked="0" layoutInCell="1" allowOverlap="1" wp14:anchorId="2EE8E01F" wp14:editId="36EAD9A2">
            <wp:simplePos x="0" y="0"/>
            <wp:positionH relativeFrom="column">
              <wp:posOffset>-228600</wp:posOffset>
            </wp:positionH>
            <wp:positionV relativeFrom="paragraph">
              <wp:posOffset>3810</wp:posOffset>
            </wp:positionV>
            <wp:extent cx="5943600" cy="401744"/>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sidR="00895625">
        <w:rPr>
          <w:rFonts w:asciiTheme="majorHAnsi" w:hAnsiTheme="majorHAnsi"/>
          <w:color w:val="FFFFFF" w:themeColor="background1"/>
          <w:position w:val="-40"/>
          <w:sz w:val="24"/>
          <w:szCs w:val="24"/>
        </w:rPr>
        <w:t>4</w:t>
      </w:r>
      <w:r w:rsidRPr="00B85CD2">
        <w:rPr>
          <w:rFonts w:asciiTheme="majorHAnsi" w:hAnsiTheme="majorHAnsi"/>
          <w:color w:val="FFFFFF" w:themeColor="background1"/>
          <w:position w:val="-40"/>
          <w:sz w:val="24"/>
          <w:szCs w:val="24"/>
        </w:rPr>
        <w:t>.</w:t>
      </w:r>
      <w:r w:rsidR="0025659E">
        <w:rPr>
          <w:rFonts w:asciiTheme="majorHAnsi" w:hAnsiTheme="majorHAnsi"/>
          <w:color w:val="FFFFFF" w:themeColor="background1"/>
          <w:position w:val="-40"/>
          <w:sz w:val="24"/>
          <w:szCs w:val="24"/>
        </w:rPr>
        <w:t>3</w:t>
      </w:r>
    </w:p>
    <w:p w14:paraId="208E7E22" w14:textId="50FE004F" w:rsidR="008D55B9" w:rsidRPr="00BB245F" w:rsidRDefault="008D55B9" w:rsidP="002376E3">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895625">
        <w:rPr>
          <w:rFonts w:asciiTheme="majorHAnsi" w:hAnsiTheme="majorHAnsi"/>
          <w:color w:val="7F7F7F" w:themeColor="text1" w:themeTint="80"/>
          <w:sz w:val="36"/>
          <w:szCs w:val="36"/>
        </w:rPr>
        <w:t>11</w:t>
      </w:r>
      <w:r w:rsidRPr="00BB245F">
        <w:rPr>
          <w:rFonts w:asciiTheme="majorHAnsi" w:hAnsiTheme="majorHAnsi"/>
          <w:color w:val="7F7F7F" w:themeColor="text1" w:themeTint="80"/>
          <w:sz w:val="36"/>
          <w:szCs w:val="36"/>
        </w:rPr>
        <w:t xml:space="preserve"> (</w:t>
      </w:r>
      <w:r w:rsidR="00895625">
        <w:rPr>
          <w:rFonts w:asciiTheme="majorHAnsi" w:hAnsiTheme="majorHAnsi"/>
          <w:color w:val="7F7F7F" w:themeColor="text1" w:themeTint="80"/>
          <w:sz w:val="36"/>
          <w:szCs w:val="36"/>
        </w:rPr>
        <w:t>Institutional</w:t>
      </w:r>
      <w:r w:rsidR="00895625" w:rsidRPr="00BB245F">
        <w:rPr>
          <w:rFonts w:asciiTheme="majorHAnsi" w:hAnsiTheme="majorHAnsi"/>
          <w:color w:val="7F7F7F" w:themeColor="text1" w:themeTint="80"/>
          <w:sz w:val="36"/>
          <w:szCs w:val="36"/>
        </w:rPr>
        <w:t xml:space="preserve"> </w:t>
      </w:r>
      <w:r w:rsidRPr="00BB245F">
        <w:rPr>
          <w:rFonts w:asciiTheme="majorHAnsi" w:hAnsiTheme="majorHAnsi"/>
          <w:color w:val="7F7F7F" w:themeColor="text1" w:themeTint="80"/>
          <w:sz w:val="36"/>
          <w:szCs w:val="36"/>
        </w:rPr>
        <w:t>Dimension)</w:t>
      </w:r>
      <w:r w:rsidRPr="00BB245F">
        <w:rPr>
          <w:rFonts w:asciiTheme="majorHAnsi" w:hAnsiTheme="majorHAnsi"/>
          <w:b/>
          <w:color w:val="00836C"/>
          <w:sz w:val="36"/>
          <w:szCs w:val="36"/>
        </w:rPr>
        <w:br/>
      </w:r>
      <w:r w:rsidR="002376E3" w:rsidRPr="002376E3">
        <w:rPr>
          <w:rFonts w:asciiTheme="majorHAnsi" w:hAnsiTheme="majorHAnsi"/>
          <w:b/>
          <w:color w:val="00836C"/>
          <w:sz w:val="36"/>
          <w:szCs w:val="36"/>
        </w:rPr>
        <w:t>Leverage Reward Systems as a Resource</w:t>
      </w:r>
    </w:p>
    <w:p w14:paraId="1589949A" w14:textId="51092F55" w:rsidR="008D55B9" w:rsidRDefault="002376E3" w:rsidP="002376E3">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2376E3">
        <w:rPr>
          <w:rFonts w:asciiTheme="majorHAnsi" w:eastAsiaTheme="minorEastAsia" w:hAnsiTheme="majorHAnsi" w:cs="ITCAvantGardeStd-BkCn"/>
          <w:color w:val="000000"/>
        </w:rPr>
        <w:t>Advance institutional policies, practices, and norms that celebrate and reward individual and departmental innovation and change. Design and sustain reward structures and resource allocation that value teaching and recognize effective engagement with professional learning processes. For full-time tenure-track faculty, “learning about teaching” should be valued appropriately in annual review, promotion, and tenure processes. Reward adjunct faculty and staff engagement with professional learning with opportunities for career advancement, equitable treatment, and access to resources.</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8D55B9" w:rsidRPr="00BB245F" w14:paraId="66C0F6C8"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5A169EE7" w14:textId="77777777" w:rsidR="008D55B9" w:rsidRPr="00BB245F" w:rsidRDefault="008D55B9"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30812EA7" w14:textId="77777777" w:rsidR="002376E3" w:rsidRPr="002376E3" w:rsidRDefault="002376E3" w:rsidP="002376E3">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376E3">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66E7941B" w14:textId="3D2A51FC" w:rsidR="002376E3" w:rsidRPr="002376E3" w:rsidRDefault="002376E3" w:rsidP="002376E3">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376E3">
              <w:rPr>
                <w:rFonts w:asciiTheme="majorHAnsi" w:eastAsiaTheme="minorEastAsia" w:hAnsiTheme="majorHAnsi" w:cs="ITCAvantGardeStd-BkCn"/>
                <w:color w:val="000000"/>
                <w:sz w:val="20"/>
                <w:szCs w:val="20"/>
              </w:rPr>
              <w:t>A. Faculty and staff participation in our efforts to build teaching and learning excellence are/will be appropriately recognized, encouraged, and sup</w:t>
            </w:r>
            <w:r>
              <w:rPr>
                <w:rFonts w:asciiTheme="majorHAnsi" w:eastAsiaTheme="minorEastAsia" w:hAnsiTheme="majorHAnsi" w:cs="ITCAvantGardeStd-BkCn"/>
                <w:color w:val="000000"/>
                <w:sz w:val="20"/>
                <w:szCs w:val="20"/>
              </w:rPr>
              <w:t>ported. Rate: 1 – 2 – 3 – 4 – 5</w:t>
            </w:r>
          </w:p>
          <w:p w14:paraId="5D29CF09" w14:textId="7CC7B6B0" w:rsidR="002376E3" w:rsidRPr="002376E3" w:rsidRDefault="002376E3" w:rsidP="002376E3">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376E3">
              <w:rPr>
                <w:rFonts w:asciiTheme="majorHAnsi" w:eastAsiaTheme="minorEastAsia" w:hAnsiTheme="majorHAnsi" w:cs="ITCAvantGardeStd-BkCn"/>
                <w:color w:val="000000"/>
                <w:sz w:val="20"/>
                <w:szCs w:val="20"/>
              </w:rPr>
              <w:t xml:space="preserve">B. Participation in professional learning is recognized in the evaluation and promotion (and tenure) processes for full-time faculty, part-time faculty, and </w:t>
            </w:r>
            <w:r>
              <w:rPr>
                <w:rFonts w:asciiTheme="majorHAnsi" w:eastAsiaTheme="minorEastAsia" w:hAnsiTheme="majorHAnsi" w:cs="ITCAvantGardeStd-BkCn"/>
                <w:color w:val="000000"/>
                <w:sz w:val="20"/>
                <w:szCs w:val="20"/>
              </w:rPr>
              <w:t xml:space="preserve">staff.  </w:t>
            </w:r>
            <w:r>
              <w:rPr>
                <w:rFonts w:asciiTheme="majorHAnsi" w:eastAsiaTheme="minorEastAsia" w:hAnsiTheme="majorHAnsi" w:cs="ITCAvantGardeStd-BkCn"/>
                <w:color w:val="000000"/>
                <w:sz w:val="20"/>
                <w:szCs w:val="20"/>
              </w:rPr>
              <w:br/>
              <w:t>Rate: 1 – 2 – 3 – 4 – 5</w:t>
            </w:r>
          </w:p>
          <w:p w14:paraId="27F87672" w14:textId="06CE85C1" w:rsidR="002376E3" w:rsidRPr="002376E3" w:rsidRDefault="002376E3" w:rsidP="002376E3">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376E3">
              <w:rPr>
                <w:rFonts w:asciiTheme="majorHAnsi" w:eastAsiaTheme="minorEastAsia" w:hAnsiTheme="majorHAnsi" w:cs="ITCAvantGardeStd-BkCn"/>
                <w:color w:val="000000"/>
                <w:sz w:val="20"/>
                <w:szCs w:val="20"/>
              </w:rPr>
              <w:t>C. The importance of professional learning is clearly communicated in hiring processes for full-time faculty, part-time faculty, and</w:t>
            </w:r>
            <w:r>
              <w:rPr>
                <w:rFonts w:asciiTheme="majorHAnsi" w:eastAsiaTheme="minorEastAsia" w:hAnsiTheme="majorHAnsi" w:cs="ITCAvantGardeStd-BkCn"/>
                <w:color w:val="000000"/>
                <w:sz w:val="20"/>
                <w:szCs w:val="20"/>
              </w:rPr>
              <w:t xml:space="preserve"> staff. Rate: 1 – 2 – 3 – 4 – 5</w:t>
            </w:r>
          </w:p>
          <w:p w14:paraId="09E24BAB" w14:textId="761880CB" w:rsidR="008D55B9" w:rsidRPr="00BB245F" w:rsidRDefault="002376E3" w:rsidP="002376E3">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2376E3">
              <w:rPr>
                <w:rFonts w:asciiTheme="majorHAnsi" w:eastAsiaTheme="minorEastAsia" w:hAnsiTheme="majorHAnsi" w:cs="ITCAvantGardeStd-BkCn"/>
                <w:color w:val="000000"/>
                <w:sz w:val="20"/>
                <w:szCs w:val="20"/>
              </w:rPr>
              <w:t>D. Campus stakeholders (e.g., upper-level administrators, union, governance, etc.) understand the need for policies supporting professional learning and edu</w:t>
            </w:r>
            <w:r>
              <w:rPr>
                <w:rFonts w:asciiTheme="majorHAnsi" w:eastAsiaTheme="minorEastAsia" w:hAnsiTheme="majorHAnsi" w:cs="ITCAvantGardeStd-BkCn"/>
                <w:color w:val="000000"/>
                <w:sz w:val="20"/>
                <w:szCs w:val="20"/>
              </w:rPr>
              <w:t xml:space="preserve">cational development. </w:t>
            </w:r>
            <w:r w:rsidRPr="002376E3">
              <w:rPr>
                <w:rFonts w:asciiTheme="majorHAnsi" w:eastAsiaTheme="minorEastAsia" w:hAnsiTheme="majorHAnsi" w:cs="ITCAvantGardeStd-BkCn"/>
                <w:color w:val="000000"/>
                <w:sz w:val="20"/>
                <w:szCs w:val="20"/>
              </w:rP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497D8DF3" w14:textId="77777777" w:rsidR="008D55B9" w:rsidRPr="00BB245F" w:rsidRDefault="008D55B9"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4E551902" w14:textId="77777777" w:rsidR="00992589" w:rsidRPr="00992589" w:rsidRDefault="00992589" w:rsidP="00992589">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92589">
              <w:rPr>
                <w:rFonts w:asciiTheme="majorHAnsi" w:eastAsiaTheme="minorEastAsia" w:hAnsiTheme="majorHAnsi" w:cs="ITCAvantGardeStd-BkCn"/>
                <w:color w:val="000000"/>
                <w:sz w:val="20"/>
                <w:szCs w:val="20"/>
              </w:rPr>
              <w:t>Thinking about this Good Practice Principle, your experience, and your answers to the Inquiry Starters, please briefly highlight two to three challenges and/or strengths of our practice.</w:t>
            </w:r>
          </w:p>
          <w:p w14:paraId="70BB9145" w14:textId="69A3DCA8" w:rsidR="008D55B9" w:rsidRPr="00005AD0" w:rsidRDefault="008D55B9"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p>
        </w:tc>
      </w:tr>
      <w:tr w:rsidR="008D55B9" w:rsidRPr="00BB245F" w14:paraId="422C0C83" w14:textId="77777777" w:rsidTr="002376E3">
        <w:trPr>
          <w:trHeight w:val="2465"/>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13C83418" w14:textId="77777777" w:rsidR="008D55B9" w:rsidRPr="00005AD0" w:rsidRDefault="008D55B9"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2542FD8C" w14:textId="77777777" w:rsidR="002376E3" w:rsidRPr="002376E3" w:rsidRDefault="002376E3" w:rsidP="002376E3">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376E3">
              <w:rPr>
                <w:rFonts w:asciiTheme="majorHAnsi" w:eastAsiaTheme="minorEastAsia" w:hAnsiTheme="majorHAnsi" w:cs="ITCAvantGardeStd-BkCn"/>
                <w:color w:val="000000"/>
                <w:sz w:val="20"/>
                <w:szCs w:val="20"/>
              </w:rPr>
              <w:t>What steps can you plan to take to more effectively leverage reward systems to support professional learning and instructional improvement? Who would need to be engaged to make this happen?</w:t>
            </w:r>
          </w:p>
          <w:p w14:paraId="7D3EE8E0" w14:textId="77777777" w:rsidR="008D55B9" w:rsidRPr="00BB245F" w:rsidRDefault="008D55B9"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7178CBB7" w14:textId="77777777" w:rsidR="008D55B9" w:rsidRPr="00BB245F" w:rsidRDefault="008D55B9"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0DC04347" w14:textId="5177C8D6" w:rsidR="00034B2D" w:rsidRPr="00B85CD2" w:rsidRDefault="00034B2D" w:rsidP="00034B2D">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72576" behindDoc="1" locked="0" layoutInCell="1" allowOverlap="1" wp14:anchorId="7DB09E68" wp14:editId="7BBA04AC">
            <wp:simplePos x="0" y="0"/>
            <wp:positionH relativeFrom="column">
              <wp:posOffset>-228600</wp:posOffset>
            </wp:positionH>
            <wp:positionV relativeFrom="paragraph">
              <wp:posOffset>3810</wp:posOffset>
            </wp:positionV>
            <wp:extent cx="5943600" cy="401744"/>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sidR="00895625">
        <w:rPr>
          <w:rFonts w:asciiTheme="majorHAnsi" w:hAnsiTheme="majorHAnsi"/>
          <w:color w:val="FFFFFF" w:themeColor="background1"/>
          <w:position w:val="-40"/>
          <w:sz w:val="24"/>
          <w:szCs w:val="24"/>
        </w:rPr>
        <w:t>4</w:t>
      </w:r>
      <w:r w:rsidRPr="00B85CD2">
        <w:rPr>
          <w:rFonts w:asciiTheme="majorHAnsi" w:hAnsiTheme="majorHAnsi"/>
          <w:color w:val="FFFFFF" w:themeColor="background1"/>
          <w:position w:val="-40"/>
          <w:sz w:val="24"/>
          <w:szCs w:val="24"/>
        </w:rPr>
        <w:t>.</w:t>
      </w:r>
      <w:r w:rsidR="00222C16">
        <w:rPr>
          <w:rFonts w:asciiTheme="majorHAnsi" w:hAnsiTheme="majorHAnsi"/>
          <w:color w:val="FFFFFF" w:themeColor="background1"/>
          <w:position w:val="-40"/>
          <w:sz w:val="24"/>
          <w:szCs w:val="24"/>
        </w:rPr>
        <w:t>4</w:t>
      </w:r>
    </w:p>
    <w:p w14:paraId="23E1B47D" w14:textId="505B140F" w:rsidR="00034B2D" w:rsidRPr="00BB245F" w:rsidRDefault="00034B2D" w:rsidP="009B4C5D">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895625">
        <w:rPr>
          <w:rFonts w:asciiTheme="majorHAnsi" w:hAnsiTheme="majorHAnsi"/>
          <w:color w:val="7F7F7F" w:themeColor="text1" w:themeTint="80"/>
          <w:sz w:val="36"/>
          <w:szCs w:val="36"/>
        </w:rPr>
        <w:t>12</w:t>
      </w:r>
      <w:r w:rsidRPr="00BB245F">
        <w:rPr>
          <w:rFonts w:asciiTheme="majorHAnsi" w:hAnsiTheme="majorHAnsi"/>
          <w:color w:val="7F7F7F" w:themeColor="text1" w:themeTint="80"/>
          <w:sz w:val="36"/>
          <w:szCs w:val="36"/>
        </w:rPr>
        <w:t xml:space="preserve"> (</w:t>
      </w:r>
      <w:r w:rsidR="00895625">
        <w:rPr>
          <w:rFonts w:asciiTheme="majorHAnsi" w:hAnsiTheme="majorHAnsi"/>
          <w:color w:val="7F7F7F" w:themeColor="text1" w:themeTint="80"/>
          <w:sz w:val="36"/>
          <w:szCs w:val="36"/>
        </w:rPr>
        <w:t>Institutional</w:t>
      </w:r>
      <w:r w:rsidR="00895625" w:rsidRPr="00BB245F">
        <w:rPr>
          <w:rFonts w:asciiTheme="majorHAnsi" w:hAnsiTheme="majorHAnsi"/>
          <w:color w:val="7F7F7F" w:themeColor="text1" w:themeTint="80"/>
          <w:sz w:val="36"/>
          <w:szCs w:val="36"/>
        </w:rPr>
        <w:t xml:space="preserve"> </w:t>
      </w:r>
      <w:r w:rsidRPr="00BB245F">
        <w:rPr>
          <w:rFonts w:asciiTheme="majorHAnsi" w:hAnsiTheme="majorHAnsi"/>
          <w:color w:val="7F7F7F" w:themeColor="text1" w:themeTint="80"/>
          <w:sz w:val="36"/>
          <w:szCs w:val="36"/>
        </w:rPr>
        <w:t>Dimension)</w:t>
      </w:r>
      <w:r w:rsidRPr="00BB245F">
        <w:rPr>
          <w:rFonts w:asciiTheme="majorHAnsi" w:hAnsiTheme="majorHAnsi"/>
          <w:b/>
          <w:color w:val="00836C"/>
          <w:sz w:val="36"/>
          <w:szCs w:val="36"/>
        </w:rPr>
        <w:br/>
      </w:r>
      <w:r w:rsidR="009B4C5D" w:rsidRPr="009B4C5D">
        <w:rPr>
          <w:rFonts w:asciiTheme="majorHAnsi" w:hAnsiTheme="majorHAnsi"/>
          <w:b/>
          <w:color w:val="00836C"/>
          <w:sz w:val="36"/>
          <w:szCs w:val="36"/>
        </w:rPr>
        <w:t>Build a Learning Culture</w:t>
      </w:r>
    </w:p>
    <w:p w14:paraId="24D5F402" w14:textId="6E464A14" w:rsidR="00034B2D" w:rsidRDefault="009B4C5D" w:rsidP="009B4C5D">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9B4C5D">
        <w:rPr>
          <w:rFonts w:asciiTheme="majorHAnsi" w:eastAsiaTheme="minorEastAsia" w:hAnsiTheme="majorHAnsi" w:cs="ITCAvantGardeStd-BkCn"/>
          <w:color w:val="000000"/>
        </w:rPr>
        <w:t>Professional learning builds capacity, strengthens the educator role within the institution, and contributes to the growth of an engaged, multi-vocal, multi-layered learning organization. Find ways to recognize the innovations and expertise emerging from educational development in the evolution of institutional culture, policy and practice. Respect and engage academic freedom and shared governance.</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034B2D" w:rsidRPr="00BB245F" w14:paraId="3C866969"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3EFEA6FA" w14:textId="77777777" w:rsidR="00034B2D" w:rsidRPr="00BB245F" w:rsidRDefault="00034B2D"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02183596" w14:textId="77777777" w:rsidR="009B4C5D" w:rsidRPr="009B4C5D" w:rsidRDefault="009B4C5D" w:rsidP="009B4C5D">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B4C5D">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3F98E875" w14:textId="04787898" w:rsidR="009B4C5D" w:rsidRPr="009B4C5D" w:rsidRDefault="009B4C5D" w:rsidP="009B4C5D">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B4C5D">
              <w:rPr>
                <w:rFonts w:asciiTheme="majorHAnsi" w:eastAsiaTheme="minorEastAsia" w:hAnsiTheme="majorHAnsi" w:cs="ITCAvantGardeStd-BkCn"/>
                <w:color w:val="000000"/>
                <w:sz w:val="20"/>
                <w:szCs w:val="20"/>
              </w:rPr>
              <w:t>A. Our campus consistently leverages the expertise developed in professional learning to advance ongoing institutional impro</w:t>
            </w:r>
            <w:r>
              <w:rPr>
                <w:rFonts w:asciiTheme="majorHAnsi" w:eastAsiaTheme="minorEastAsia" w:hAnsiTheme="majorHAnsi" w:cs="ITCAvantGardeStd-BkCn"/>
                <w:color w:val="000000"/>
                <w:sz w:val="20"/>
                <w:szCs w:val="20"/>
              </w:rPr>
              <w:t>vement. Rate: 1 – 2 – 3 – 4 – 5</w:t>
            </w:r>
          </w:p>
          <w:p w14:paraId="61310D36" w14:textId="51571FEC" w:rsidR="009B4C5D" w:rsidRPr="009B4C5D" w:rsidRDefault="009B4C5D" w:rsidP="009B4C5D">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B4C5D">
              <w:rPr>
                <w:rFonts w:asciiTheme="majorHAnsi" w:eastAsiaTheme="minorEastAsia" w:hAnsiTheme="majorHAnsi" w:cs="ITCAvantGardeStd-BkCn"/>
                <w:color w:val="000000"/>
                <w:sz w:val="20"/>
                <w:szCs w:val="20"/>
              </w:rPr>
              <w:t xml:space="preserve">B. Participants and leaders of professional learning processes have effective avenues to share insights with administrators and institutional governance </w:t>
            </w:r>
            <w:r>
              <w:rPr>
                <w:rFonts w:asciiTheme="majorHAnsi" w:eastAsiaTheme="minorEastAsia" w:hAnsiTheme="majorHAnsi" w:cs="ITCAvantGardeStd-BkCn"/>
                <w:color w:val="000000"/>
                <w:sz w:val="20"/>
                <w:szCs w:val="20"/>
              </w:rPr>
              <w:t>bodies. Rate: 1 – 2 – 3 – 4 – 5</w:t>
            </w:r>
          </w:p>
          <w:p w14:paraId="75CFD4AE" w14:textId="738E5169" w:rsidR="00034B2D" w:rsidRPr="00BB245F" w:rsidRDefault="009B4C5D" w:rsidP="009B4C5D">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9B4C5D">
              <w:rPr>
                <w:rFonts w:asciiTheme="majorHAnsi" w:eastAsiaTheme="minorEastAsia" w:hAnsiTheme="majorHAnsi" w:cs="ITCAvantGardeStd-BkCn"/>
                <w:color w:val="000000"/>
                <w:sz w:val="20"/>
                <w:szCs w:val="20"/>
              </w:rPr>
              <w:t>C. Meaningful participation in professional learning processes is understood and valued in leadership d</w:t>
            </w:r>
            <w:r>
              <w:rPr>
                <w:rFonts w:asciiTheme="majorHAnsi" w:eastAsiaTheme="minorEastAsia" w:hAnsiTheme="majorHAnsi" w:cs="ITCAvantGardeStd-BkCn"/>
                <w:color w:val="000000"/>
                <w:sz w:val="20"/>
                <w:szCs w:val="20"/>
              </w:rPr>
              <w:t xml:space="preserve">evelopment. </w:t>
            </w:r>
            <w:r w:rsidRPr="009B4C5D">
              <w:rPr>
                <w:rFonts w:asciiTheme="majorHAnsi" w:eastAsiaTheme="minorEastAsia" w:hAnsiTheme="majorHAnsi" w:cs="ITCAvantGardeStd-BkCn"/>
                <w:color w:val="000000"/>
                <w:sz w:val="20"/>
                <w:szCs w:val="20"/>
              </w:rP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411F171D" w14:textId="77777777" w:rsidR="00034B2D" w:rsidRPr="00BB245F" w:rsidRDefault="00034B2D"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5F376B4F" w14:textId="77777777" w:rsidR="00992589" w:rsidRPr="00992589" w:rsidRDefault="00992589" w:rsidP="00992589">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92589">
              <w:rPr>
                <w:rFonts w:asciiTheme="majorHAnsi" w:eastAsiaTheme="minorEastAsia" w:hAnsiTheme="majorHAnsi" w:cs="ITCAvantGardeStd-BkCn"/>
                <w:color w:val="000000"/>
                <w:sz w:val="20"/>
                <w:szCs w:val="20"/>
              </w:rPr>
              <w:t>Thinking about this Good Practice Principle, your experience, and your answers to the Inquiry Starters, please briefly highlight two to three challenges and/or strengths of our practice.</w:t>
            </w:r>
          </w:p>
          <w:p w14:paraId="60C68FC5" w14:textId="31AD44DC" w:rsidR="00034B2D" w:rsidRPr="00005AD0" w:rsidRDefault="00034B2D"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p>
        </w:tc>
      </w:tr>
      <w:tr w:rsidR="00034B2D" w:rsidRPr="00BB245F" w14:paraId="499BEBC4" w14:textId="77777777" w:rsidTr="009B4C5D">
        <w:trPr>
          <w:trHeight w:val="4310"/>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B86A9C1" w14:textId="77777777" w:rsidR="00034B2D" w:rsidRPr="00005AD0" w:rsidRDefault="00034B2D"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52904CA1" w14:textId="77777777" w:rsidR="009B4C5D" w:rsidRPr="009B4C5D" w:rsidRDefault="009B4C5D" w:rsidP="009B4C5D">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B4C5D">
              <w:rPr>
                <w:rFonts w:asciiTheme="majorHAnsi" w:eastAsiaTheme="minorEastAsia" w:hAnsiTheme="majorHAnsi" w:cs="ITCAvantGardeStd-BkCn"/>
                <w:color w:val="000000"/>
                <w:sz w:val="20"/>
                <w:szCs w:val="20"/>
              </w:rPr>
              <w:t>What steps can we take, as part of our work, to build an institutional culture of learning on our campus? What could help our campus move forward?</w:t>
            </w:r>
          </w:p>
          <w:p w14:paraId="356A45E2" w14:textId="77777777" w:rsidR="00034B2D" w:rsidRPr="00BB245F" w:rsidRDefault="00034B2D"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01D003D3" w14:textId="77777777" w:rsidR="00034B2D" w:rsidRPr="00BB245F" w:rsidRDefault="00034B2D"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242F6755" w14:textId="77777777" w:rsidR="00034B2D" w:rsidRPr="00BB245F" w:rsidRDefault="00034B2D"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3A2BF971" w14:textId="33AE5121" w:rsidR="00C628CB" w:rsidRPr="00B85CD2" w:rsidRDefault="00C628CB" w:rsidP="00C628CB">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74624" behindDoc="1" locked="0" layoutInCell="1" allowOverlap="1" wp14:anchorId="3492EFC2" wp14:editId="0404B368">
            <wp:simplePos x="0" y="0"/>
            <wp:positionH relativeFrom="column">
              <wp:posOffset>-228600</wp:posOffset>
            </wp:positionH>
            <wp:positionV relativeFrom="paragraph">
              <wp:posOffset>3810</wp:posOffset>
            </wp:positionV>
            <wp:extent cx="5943600" cy="401744"/>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sidR="00B34A1D">
        <w:rPr>
          <w:rFonts w:asciiTheme="majorHAnsi" w:hAnsiTheme="majorHAnsi"/>
          <w:color w:val="FFFFFF" w:themeColor="background1"/>
          <w:position w:val="-40"/>
          <w:sz w:val="24"/>
          <w:szCs w:val="24"/>
        </w:rPr>
        <w:t>4</w:t>
      </w:r>
      <w:r w:rsidRPr="00B85CD2">
        <w:rPr>
          <w:rFonts w:asciiTheme="majorHAnsi" w:hAnsiTheme="majorHAnsi"/>
          <w:color w:val="FFFFFF" w:themeColor="background1"/>
          <w:position w:val="-40"/>
          <w:sz w:val="24"/>
          <w:szCs w:val="24"/>
        </w:rPr>
        <w:t>.</w:t>
      </w:r>
      <w:r w:rsidR="007E78CC">
        <w:rPr>
          <w:rFonts w:asciiTheme="majorHAnsi" w:hAnsiTheme="majorHAnsi"/>
          <w:color w:val="FFFFFF" w:themeColor="background1"/>
          <w:position w:val="-40"/>
          <w:sz w:val="24"/>
          <w:szCs w:val="24"/>
        </w:rPr>
        <w:t>5</w:t>
      </w:r>
    </w:p>
    <w:p w14:paraId="440D4562" w14:textId="2AB18612" w:rsidR="00C628CB" w:rsidRPr="00BB245F" w:rsidRDefault="00C628CB" w:rsidP="002256DE">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B34A1D">
        <w:rPr>
          <w:rFonts w:asciiTheme="majorHAnsi" w:hAnsiTheme="majorHAnsi"/>
          <w:color w:val="7F7F7F" w:themeColor="text1" w:themeTint="80"/>
          <w:sz w:val="36"/>
          <w:szCs w:val="36"/>
        </w:rPr>
        <w:t>13</w:t>
      </w:r>
      <w:r w:rsidRPr="00BB245F">
        <w:rPr>
          <w:rFonts w:asciiTheme="majorHAnsi" w:hAnsiTheme="majorHAnsi"/>
          <w:color w:val="7F7F7F" w:themeColor="text1" w:themeTint="80"/>
          <w:sz w:val="36"/>
          <w:szCs w:val="36"/>
        </w:rPr>
        <w:t xml:space="preserve"> (</w:t>
      </w:r>
      <w:proofErr w:type="spellStart"/>
      <w:r w:rsidR="00B34A1D">
        <w:rPr>
          <w:rFonts w:asciiTheme="majorHAnsi" w:hAnsiTheme="majorHAnsi"/>
          <w:color w:val="7F7F7F" w:themeColor="text1" w:themeTint="80"/>
          <w:sz w:val="36"/>
          <w:szCs w:val="36"/>
        </w:rPr>
        <w:t>Ecosystemic</w:t>
      </w:r>
      <w:proofErr w:type="spellEnd"/>
      <w:r w:rsidRPr="00BB245F">
        <w:rPr>
          <w:rFonts w:asciiTheme="majorHAnsi" w:hAnsiTheme="majorHAnsi"/>
          <w:color w:val="7F7F7F" w:themeColor="text1" w:themeTint="80"/>
          <w:sz w:val="36"/>
          <w:szCs w:val="36"/>
        </w:rPr>
        <w:t xml:space="preserve"> Dimension)</w:t>
      </w:r>
      <w:r w:rsidRPr="00BB245F">
        <w:rPr>
          <w:rFonts w:asciiTheme="majorHAnsi" w:hAnsiTheme="majorHAnsi"/>
          <w:b/>
          <w:color w:val="00836C"/>
          <w:sz w:val="36"/>
          <w:szCs w:val="36"/>
        </w:rPr>
        <w:br/>
      </w:r>
      <w:r w:rsidR="002256DE" w:rsidRPr="002256DE">
        <w:rPr>
          <w:rFonts w:asciiTheme="majorHAnsi" w:hAnsiTheme="majorHAnsi"/>
          <w:b/>
          <w:color w:val="00836C"/>
          <w:sz w:val="36"/>
          <w:szCs w:val="36"/>
        </w:rPr>
        <w:t>Build Partnerships and Exchange</w:t>
      </w:r>
    </w:p>
    <w:p w14:paraId="4C2B9891" w14:textId="2D9AF199" w:rsidR="00C628CB" w:rsidRDefault="002256DE" w:rsidP="002256DE">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2256DE">
        <w:rPr>
          <w:rFonts w:asciiTheme="majorHAnsi" w:eastAsiaTheme="minorEastAsia" w:hAnsiTheme="majorHAnsi" w:cs="ITCAvantGardeStd-BkCn"/>
          <w:color w:val="000000"/>
        </w:rPr>
        <w:t>Cross-institutional networks and communities of practice can generate new insights and enrich campus professional learning conversations. Collaborative exchange with peer campuses offers opportunities to examine new approaches to learning and teaching in real-life settings, supplementing insights from the research literature. Building respectful partnerships can attract broader campus attention and provide sustaining mutual support.</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C628CB" w:rsidRPr="00BB245F" w14:paraId="19EC8AC4"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3F88D5F5"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28CA849C" w14:textId="77777777" w:rsidR="002256DE" w:rsidRPr="002256DE" w:rsidRDefault="002256DE" w:rsidP="002256D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256DE">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7C4E1508" w14:textId="35760B46" w:rsidR="002256DE" w:rsidRPr="002256DE" w:rsidRDefault="002256DE" w:rsidP="002256D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256DE">
              <w:rPr>
                <w:rFonts w:asciiTheme="majorHAnsi" w:eastAsiaTheme="minorEastAsia" w:hAnsiTheme="majorHAnsi" w:cs="ITCAvantGardeStd-BkCn"/>
                <w:color w:val="000000"/>
                <w:sz w:val="20"/>
                <w:szCs w:val="20"/>
              </w:rPr>
              <w:t xml:space="preserve">A.  Our faculty and staff have ample opportunities to engage in collaboration and communities of practice that connect our college with other institutions. </w:t>
            </w:r>
            <w:r>
              <w:rPr>
                <w:rFonts w:asciiTheme="majorHAnsi" w:eastAsiaTheme="minorEastAsia" w:hAnsiTheme="majorHAnsi" w:cs="ITCAvantGardeStd-BkCn"/>
                <w:color w:val="000000"/>
                <w:sz w:val="20"/>
                <w:szCs w:val="20"/>
              </w:rPr>
              <w:br/>
            </w:r>
            <w:r w:rsidRPr="002256DE">
              <w:rPr>
                <w:rFonts w:asciiTheme="majorHAnsi" w:eastAsiaTheme="minorEastAsia" w:hAnsiTheme="majorHAnsi" w:cs="ITCAvantGardeStd-BkCn"/>
                <w:color w:val="000000"/>
                <w:sz w:val="20"/>
                <w:szCs w:val="20"/>
              </w:rPr>
              <w:t xml:space="preserve">Rate: </w:t>
            </w:r>
            <w:r>
              <w:rPr>
                <w:rFonts w:asciiTheme="majorHAnsi" w:eastAsiaTheme="minorEastAsia" w:hAnsiTheme="majorHAnsi" w:cs="ITCAvantGardeStd-BkCn"/>
                <w:color w:val="000000"/>
                <w:sz w:val="20"/>
                <w:szCs w:val="20"/>
              </w:rPr>
              <w:t>1 – 2 – 3 – 4 – 5</w:t>
            </w:r>
          </w:p>
          <w:p w14:paraId="5A89D53B" w14:textId="144CB0D9" w:rsidR="002256DE" w:rsidRPr="002256DE" w:rsidRDefault="002256DE" w:rsidP="002256D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256DE">
              <w:rPr>
                <w:rFonts w:asciiTheme="majorHAnsi" w:eastAsiaTheme="minorEastAsia" w:hAnsiTheme="majorHAnsi" w:cs="ITCAvantGardeStd-BkCn"/>
                <w:color w:val="000000"/>
                <w:sz w:val="20"/>
                <w:szCs w:val="20"/>
              </w:rPr>
              <w:t>B. Our educational development efforts take productive advantage of professional learning resources and learning opportunities offered by our system, our national network partners and discipli</w:t>
            </w:r>
            <w:r>
              <w:rPr>
                <w:rFonts w:asciiTheme="majorHAnsi" w:eastAsiaTheme="minorEastAsia" w:hAnsiTheme="majorHAnsi" w:cs="ITCAvantGardeStd-BkCn"/>
                <w:color w:val="000000"/>
                <w:sz w:val="20"/>
                <w:szCs w:val="20"/>
              </w:rPr>
              <w:t xml:space="preserve">nary professional associations. </w:t>
            </w:r>
            <w:r w:rsidRPr="002256DE">
              <w:rPr>
                <w:rFonts w:asciiTheme="majorHAnsi" w:eastAsiaTheme="minorEastAsia" w:hAnsiTheme="majorHAnsi" w:cs="ITCAvantGardeStd-BkCn"/>
                <w:color w:val="000000"/>
                <w:sz w:val="20"/>
                <w:szCs w:val="20"/>
              </w:rPr>
              <w:t>Rate: 1 – 2 –</w:t>
            </w:r>
            <w:r>
              <w:rPr>
                <w:rFonts w:asciiTheme="majorHAnsi" w:eastAsiaTheme="minorEastAsia" w:hAnsiTheme="majorHAnsi" w:cs="ITCAvantGardeStd-BkCn"/>
                <w:color w:val="000000"/>
                <w:sz w:val="20"/>
                <w:szCs w:val="20"/>
              </w:rPr>
              <w:t xml:space="preserve"> 3 – 4 – 5</w:t>
            </w:r>
          </w:p>
          <w:p w14:paraId="74C6260D" w14:textId="6BD75722" w:rsidR="002256DE" w:rsidRPr="002256DE" w:rsidRDefault="002256DE" w:rsidP="002256D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256DE">
              <w:rPr>
                <w:rFonts w:asciiTheme="majorHAnsi" w:eastAsiaTheme="minorEastAsia" w:hAnsiTheme="majorHAnsi" w:cs="ITCAvantGardeStd-BkCn"/>
                <w:color w:val="000000"/>
                <w:sz w:val="20"/>
                <w:szCs w:val="20"/>
              </w:rPr>
              <w:t>C. We seek out and create opportunities for mutual learning and exchange with peer institutions</w:t>
            </w:r>
            <w:r>
              <w:rPr>
                <w:rFonts w:asciiTheme="majorHAnsi" w:eastAsiaTheme="minorEastAsia" w:hAnsiTheme="majorHAnsi" w:cs="ITCAvantGardeStd-BkCn"/>
                <w:color w:val="000000"/>
                <w:sz w:val="20"/>
                <w:szCs w:val="20"/>
              </w:rPr>
              <w:t xml:space="preserve"> within and beyond our system. Rate: 1 – 2 – 3 – 4 – 5  </w:t>
            </w:r>
          </w:p>
          <w:p w14:paraId="3B859350" w14:textId="70AEB6F5" w:rsidR="00C628CB" w:rsidRPr="00BB245F" w:rsidRDefault="002256DE" w:rsidP="002256D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2256DE">
              <w:rPr>
                <w:rFonts w:asciiTheme="majorHAnsi" w:eastAsiaTheme="minorEastAsia" w:hAnsiTheme="majorHAnsi" w:cs="ITCAvantGardeStd-BkCn"/>
                <w:color w:val="000000"/>
                <w:sz w:val="20"/>
                <w:szCs w:val="20"/>
              </w:rPr>
              <w:t>D. Our campus professional learning efforts are informed by scholarship and best practice in the field of professional learning and educational development. 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E7124E1"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22928694" w14:textId="77777777" w:rsidR="00992589" w:rsidRPr="00992589" w:rsidRDefault="00992589" w:rsidP="00992589">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92589">
              <w:rPr>
                <w:rFonts w:asciiTheme="majorHAnsi" w:eastAsiaTheme="minorEastAsia" w:hAnsiTheme="majorHAnsi" w:cs="ITCAvantGardeStd-BkCn"/>
                <w:color w:val="000000"/>
                <w:sz w:val="20"/>
                <w:szCs w:val="20"/>
              </w:rPr>
              <w:t>Thinking about this Good Practice Principle, your experience, and your answers to the Inquiry Starters, please briefly highlight two to three challenges and/or strengths of our practice.</w:t>
            </w:r>
          </w:p>
          <w:p w14:paraId="25A083C9" w14:textId="6C1CA929"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p>
        </w:tc>
      </w:tr>
      <w:tr w:rsidR="00C628CB" w:rsidRPr="00BB245F" w14:paraId="4498CA3A" w14:textId="77777777" w:rsidTr="002256DE">
        <w:trPr>
          <w:trHeight w:val="2483"/>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2944564" w14:textId="77777777" w:rsidR="00C628CB" w:rsidRPr="00005AD0"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7F60EE09" w14:textId="3EFA3296" w:rsidR="00C628CB" w:rsidRPr="002256DE" w:rsidRDefault="002256DE" w:rsidP="002256DE">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256DE">
              <w:rPr>
                <w:rFonts w:asciiTheme="majorHAnsi" w:eastAsiaTheme="minorEastAsia" w:hAnsiTheme="majorHAnsi" w:cs="ITCAvantGardeStd-BkCn"/>
                <w:color w:val="000000"/>
                <w:sz w:val="20"/>
                <w:szCs w:val="20"/>
              </w:rPr>
              <w:t>As an initiative, how can we help our educators take full advantage of external partnerships and professional learning opportunities? What opportunities might be most helpful? What steps can we take to facilitate productive engagement?</w:t>
            </w:r>
          </w:p>
        </w:tc>
      </w:tr>
    </w:tbl>
    <w:p w14:paraId="43634CA9" w14:textId="4B4E42D7" w:rsidR="00C628CB" w:rsidRPr="00B85CD2" w:rsidRDefault="00C628CB" w:rsidP="00C628CB">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76672" behindDoc="1" locked="0" layoutInCell="1" allowOverlap="1" wp14:anchorId="4DFCF7A2" wp14:editId="7CB4DBFD">
            <wp:simplePos x="0" y="0"/>
            <wp:positionH relativeFrom="column">
              <wp:posOffset>-228600</wp:posOffset>
            </wp:positionH>
            <wp:positionV relativeFrom="paragraph">
              <wp:posOffset>3810</wp:posOffset>
            </wp:positionV>
            <wp:extent cx="5943600" cy="401744"/>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sidR="00B34A1D">
        <w:rPr>
          <w:rFonts w:asciiTheme="majorHAnsi" w:hAnsiTheme="majorHAnsi"/>
          <w:color w:val="FFFFFF" w:themeColor="background1"/>
          <w:position w:val="-40"/>
          <w:sz w:val="24"/>
          <w:szCs w:val="24"/>
        </w:rPr>
        <w:t>4</w:t>
      </w:r>
      <w:r w:rsidRPr="00B85CD2">
        <w:rPr>
          <w:rFonts w:asciiTheme="majorHAnsi" w:hAnsiTheme="majorHAnsi"/>
          <w:color w:val="FFFFFF" w:themeColor="background1"/>
          <w:position w:val="-40"/>
          <w:sz w:val="24"/>
          <w:szCs w:val="24"/>
        </w:rPr>
        <w:t>.</w:t>
      </w:r>
      <w:r w:rsidR="00085085">
        <w:rPr>
          <w:rFonts w:asciiTheme="majorHAnsi" w:hAnsiTheme="majorHAnsi"/>
          <w:color w:val="FFFFFF" w:themeColor="background1"/>
          <w:position w:val="-40"/>
          <w:sz w:val="24"/>
          <w:szCs w:val="24"/>
        </w:rPr>
        <w:t>6</w:t>
      </w:r>
    </w:p>
    <w:p w14:paraId="5380CBDB" w14:textId="7F02106E" w:rsidR="00C628CB" w:rsidRPr="00BB245F" w:rsidRDefault="00C628CB" w:rsidP="00E57F34">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B34A1D">
        <w:rPr>
          <w:rFonts w:asciiTheme="majorHAnsi" w:hAnsiTheme="majorHAnsi"/>
          <w:color w:val="7F7F7F" w:themeColor="text1" w:themeTint="80"/>
          <w:sz w:val="36"/>
          <w:szCs w:val="36"/>
        </w:rPr>
        <w:t>14</w:t>
      </w:r>
      <w:r w:rsidRPr="00BB245F">
        <w:rPr>
          <w:rFonts w:asciiTheme="majorHAnsi" w:hAnsiTheme="majorHAnsi"/>
          <w:color w:val="7F7F7F" w:themeColor="text1" w:themeTint="80"/>
          <w:sz w:val="36"/>
          <w:szCs w:val="36"/>
        </w:rPr>
        <w:t xml:space="preserve"> (</w:t>
      </w:r>
      <w:proofErr w:type="spellStart"/>
      <w:r w:rsidR="00B34A1D">
        <w:rPr>
          <w:rFonts w:asciiTheme="majorHAnsi" w:hAnsiTheme="majorHAnsi"/>
          <w:color w:val="7F7F7F" w:themeColor="text1" w:themeTint="80"/>
          <w:sz w:val="36"/>
          <w:szCs w:val="36"/>
        </w:rPr>
        <w:t>Ecosystemic</w:t>
      </w:r>
      <w:proofErr w:type="spellEnd"/>
      <w:r w:rsidR="00B34A1D" w:rsidRPr="00BB245F">
        <w:rPr>
          <w:rFonts w:asciiTheme="majorHAnsi" w:hAnsiTheme="majorHAnsi"/>
          <w:color w:val="7F7F7F" w:themeColor="text1" w:themeTint="80"/>
          <w:sz w:val="36"/>
          <w:szCs w:val="36"/>
        </w:rPr>
        <w:t xml:space="preserve"> </w:t>
      </w:r>
      <w:r w:rsidRPr="00BB245F">
        <w:rPr>
          <w:rFonts w:asciiTheme="majorHAnsi" w:hAnsiTheme="majorHAnsi"/>
          <w:color w:val="7F7F7F" w:themeColor="text1" w:themeTint="80"/>
          <w:sz w:val="36"/>
          <w:szCs w:val="36"/>
        </w:rPr>
        <w:t>Dimension)</w:t>
      </w:r>
      <w:r w:rsidRPr="00BB245F">
        <w:rPr>
          <w:rFonts w:asciiTheme="majorHAnsi" w:hAnsiTheme="majorHAnsi"/>
          <w:b/>
          <w:color w:val="00836C"/>
          <w:sz w:val="36"/>
          <w:szCs w:val="36"/>
        </w:rPr>
        <w:br/>
      </w:r>
      <w:r w:rsidR="00E57F34" w:rsidRPr="00E57F34">
        <w:rPr>
          <w:rFonts w:asciiTheme="majorHAnsi" w:hAnsiTheme="majorHAnsi"/>
          <w:b/>
          <w:color w:val="00836C"/>
          <w:sz w:val="36"/>
          <w:szCs w:val="36"/>
        </w:rPr>
        <w:t>Capitalize on Strategic Messaging</w:t>
      </w:r>
    </w:p>
    <w:p w14:paraId="0F196FF2" w14:textId="203CBDB5" w:rsidR="00C628CB" w:rsidRDefault="00E57F34" w:rsidP="00E57F34">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E57F34">
        <w:rPr>
          <w:rFonts w:asciiTheme="majorHAnsi" w:eastAsiaTheme="minorEastAsia" w:hAnsiTheme="majorHAnsi" w:cs="ITCAvantGardeStd-BkCn"/>
          <w:color w:val="000000"/>
        </w:rPr>
        <w:t xml:space="preserve">National education reform and student success groups, disciplinary associations, and regional accreditors play key roles in shaping the higher education conversation, informing the direction of educational change. Campus efforts can borrow, adapt, and build on the messages emerging from these and other sources to strengthen and nuance their own communications with educators, students, administrators, and other stakeholders. </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C628CB" w:rsidRPr="00BB245F" w14:paraId="1DC2AAE7"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5DE85328"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7B93C5A1" w14:textId="77777777" w:rsidR="00E57F34" w:rsidRPr="00E57F34" w:rsidRDefault="00E57F34" w:rsidP="00E57F34">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E57F34">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13E3702C" w14:textId="6DD10021" w:rsidR="00E57F34" w:rsidRPr="00E57F34" w:rsidRDefault="00E57F34" w:rsidP="00E57F34">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E57F34">
              <w:rPr>
                <w:rFonts w:asciiTheme="majorHAnsi" w:eastAsiaTheme="minorEastAsia" w:hAnsiTheme="majorHAnsi" w:cs="ITCAvantGardeStd-BkCn"/>
                <w:color w:val="000000"/>
                <w:sz w:val="20"/>
                <w:szCs w:val="20"/>
              </w:rPr>
              <w:t>A. We take strategic advantage of the messaging done by educational reform groups and disciplinary associations to elevate the legitimacy and perceived value of our professional learning and ed</w:t>
            </w:r>
            <w:r>
              <w:rPr>
                <w:rFonts w:asciiTheme="majorHAnsi" w:eastAsiaTheme="minorEastAsia" w:hAnsiTheme="majorHAnsi" w:cs="ITCAvantGardeStd-BkCn"/>
                <w:color w:val="000000"/>
                <w:sz w:val="20"/>
                <w:szCs w:val="20"/>
              </w:rPr>
              <w:t>ucational development efforts. Rate: 1 – 2 – 3 – 4 – 5</w:t>
            </w:r>
          </w:p>
          <w:p w14:paraId="6EC1B781" w14:textId="17530B33" w:rsidR="00C628CB" w:rsidRPr="00BB245F" w:rsidRDefault="00E57F34" w:rsidP="00E57F34">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E57F34">
              <w:rPr>
                <w:rFonts w:asciiTheme="majorHAnsi" w:eastAsiaTheme="minorEastAsia" w:hAnsiTheme="majorHAnsi" w:cs="ITCAvantGardeStd-BkCn"/>
                <w:color w:val="000000"/>
                <w:sz w:val="20"/>
                <w:szCs w:val="20"/>
              </w:rPr>
              <w:t>B. We seek out opportunities to showcase our successful campus work at national conferences, and in higher education media and scholarly journals, as a way to advance broader change in policy and practice.</w:t>
            </w:r>
            <w:r w:rsidRPr="00E57F34">
              <w:rPr>
                <w:rFonts w:asciiTheme="majorHAnsi" w:eastAsiaTheme="minorEastAsia" w:hAnsiTheme="majorHAnsi" w:cs="ITCAvantGardeStd-BkCn"/>
                <w:color w:val="000000"/>
                <w:sz w:val="20"/>
                <w:szCs w:val="20"/>
              </w:rPr>
              <w:b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18A9C7FA"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7190FEA4" w14:textId="77777777" w:rsidR="00992589" w:rsidRPr="00992589" w:rsidRDefault="00992589" w:rsidP="00992589">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92589">
              <w:rPr>
                <w:rFonts w:asciiTheme="majorHAnsi" w:eastAsiaTheme="minorEastAsia" w:hAnsiTheme="majorHAnsi" w:cs="ITCAvantGardeStd-BkCn"/>
                <w:color w:val="000000"/>
                <w:sz w:val="20"/>
                <w:szCs w:val="20"/>
              </w:rPr>
              <w:t>Thinking about this Good Practice Principle, your experience, and your answers to the Inquiry Starters, please briefly highlight two to three challenges and/or strengths of our practice.</w:t>
            </w:r>
          </w:p>
          <w:p w14:paraId="44697BE4" w14:textId="6A4198D4"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p>
        </w:tc>
      </w:tr>
      <w:tr w:rsidR="00C628CB" w:rsidRPr="00BB245F" w14:paraId="0F731BC4" w14:textId="77777777" w:rsidTr="00085085">
        <w:trPr>
          <w:trHeight w:val="4706"/>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02327EC" w14:textId="77777777" w:rsidR="00C628CB" w:rsidRPr="00005AD0"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4E027962" w14:textId="77777777" w:rsidR="00E57F34" w:rsidRPr="00E57F34" w:rsidRDefault="00E57F34" w:rsidP="00E57F34">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E57F34">
              <w:rPr>
                <w:rFonts w:asciiTheme="majorHAnsi" w:eastAsiaTheme="minorEastAsia" w:hAnsiTheme="majorHAnsi" w:cs="ITCAvantGardeStd-BkCn"/>
                <w:color w:val="000000"/>
                <w:sz w:val="20"/>
                <w:szCs w:val="20"/>
              </w:rPr>
              <w:t>How can we take full advantage of the national conversation around learning, teaching, and educational development? What steps can we take to leverage this conversation to advance our campus effort?</w:t>
            </w:r>
          </w:p>
          <w:p w14:paraId="1F68AE38"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0DF05C36"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p w14:paraId="590E2A21" w14:textId="77777777" w:rsidR="00C628CB" w:rsidRPr="00BB245F"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p>
        </w:tc>
      </w:tr>
    </w:tbl>
    <w:p w14:paraId="41686675" w14:textId="6DAB567E" w:rsidR="00C628CB" w:rsidRPr="00B85CD2" w:rsidRDefault="00C628CB" w:rsidP="00C628CB">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78720" behindDoc="1" locked="0" layoutInCell="1" allowOverlap="1" wp14:anchorId="5AA96F80" wp14:editId="312757BE">
            <wp:simplePos x="0" y="0"/>
            <wp:positionH relativeFrom="column">
              <wp:posOffset>-228600</wp:posOffset>
            </wp:positionH>
            <wp:positionV relativeFrom="paragraph">
              <wp:posOffset>3810</wp:posOffset>
            </wp:positionV>
            <wp:extent cx="5943600" cy="401744"/>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sidR="00B34A1D">
        <w:rPr>
          <w:rFonts w:asciiTheme="majorHAnsi" w:hAnsiTheme="majorHAnsi"/>
          <w:color w:val="FFFFFF" w:themeColor="background1"/>
          <w:position w:val="-40"/>
          <w:sz w:val="24"/>
          <w:szCs w:val="24"/>
        </w:rPr>
        <w:t>4</w:t>
      </w:r>
      <w:r w:rsidRPr="00B85CD2">
        <w:rPr>
          <w:rFonts w:asciiTheme="majorHAnsi" w:hAnsiTheme="majorHAnsi"/>
          <w:color w:val="FFFFFF" w:themeColor="background1"/>
          <w:position w:val="-40"/>
          <w:sz w:val="24"/>
          <w:szCs w:val="24"/>
        </w:rPr>
        <w:t>.</w:t>
      </w:r>
      <w:r w:rsidR="00107D58">
        <w:rPr>
          <w:rFonts w:asciiTheme="majorHAnsi" w:hAnsiTheme="majorHAnsi"/>
          <w:color w:val="FFFFFF" w:themeColor="background1"/>
          <w:position w:val="-40"/>
          <w:sz w:val="24"/>
          <w:szCs w:val="24"/>
        </w:rPr>
        <w:t>7</w:t>
      </w:r>
    </w:p>
    <w:p w14:paraId="5D2F5F8F" w14:textId="6FDA3B88" w:rsidR="00C628CB" w:rsidRPr="00BB245F" w:rsidRDefault="00C628CB" w:rsidP="00045821">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B34A1D">
        <w:rPr>
          <w:rFonts w:asciiTheme="majorHAnsi" w:hAnsiTheme="majorHAnsi"/>
          <w:color w:val="7F7F7F" w:themeColor="text1" w:themeTint="80"/>
          <w:sz w:val="36"/>
          <w:szCs w:val="36"/>
        </w:rPr>
        <w:t>15</w:t>
      </w:r>
      <w:r w:rsidRPr="00BB245F">
        <w:rPr>
          <w:rFonts w:asciiTheme="majorHAnsi" w:hAnsiTheme="majorHAnsi"/>
          <w:color w:val="7F7F7F" w:themeColor="text1" w:themeTint="80"/>
          <w:sz w:val="36"/>
          <w:szCs w:val="36"/>
        </w:rPr>
        <w:t xml:space="preserve"> (</w:t>
      </w:r>
      <w:proofErr w:type="spellStart"/>
      <w:r w:rsidR="00B34A1D">
        <w:rPr>
          <w:rFonts w:asciiTheme="majorHAnsi" w:hAnsiTheme="majorHAnsi"/>
          <w:color w:val="7F7F7F" w:themeColor="text1" w:themeTint="80"/>
          <w:sz w:val="36"/>
          <w:szCs w:val="36"/>
        </w:rPr>
        <w:t>Ecosystemic</w:t>
      </w:r>
      <w:proofErr w:type="spellEnd"/>
      <w:r w:rsidR="00B34A1D" w:rsidRPr="00BB245F">
        <w:rPr>
          <w:rFonts w:asciiTheme="majorHAnsi" w:hAnsiTheme="majorHAnsi"/>
          <w:color w:val="7F7F7F" w:themeColor="text1" w:themeTint="80"/>
          <w:sz w:val="36"/>
          <w:szCs w:val="36"/>
        </w:rPr>
        <w:t xml:space="preserve"> </w:t>
      </w:r>
      <w:r w:rsidRPr="00BB245F">
        <w:rPr>
          <w:rFonts w:asciiTheme="majorHAnsi" w:hAnsiTheme="majorHAnsi"/>
          <w:color w:val="7F7F7F" w:themeColor="text1" w:themeTint="80"/>
          <w:sz w:val="36"/>
          <w:szCs w:val="36"/>
        </w:rPr>
        <w:t>Dimension)</w:t>
      </w:r>
      <w:r w:rsidRPr="00BB245F">
        <w:rPr>
          <w:rFonts w:asciiTheme="majorHAnsi" w:hAnsiTheme="majorHAnsi"/>
          <w:b/>
          <w:color w:val="00836C"/>
          <w:sz w:val="36"/>
          <w:szCs w:val="36"/>
        </w:rPr>
        <w:br/>
      </w:r>
      <w:r w:rsidR="00045821" w:rsidRPr="00045821">
        <w:rPr>
          <w:rFonts w:asciiTheme="majorHAnsi" w:hAnsiTheme="majorHAnsi"/>
          <w:b/>
          <w:color w:val="00836C"/>
          <w:sz w:val="36"/>
          <w:szCs w:val="36"/>
        </w:rPr>
        <w:t>Leverage External Funding</w:t>
      </w:r>
    </w:p>
    <w:p w14:paraId="7D71CE9B" w14:textId="15EAA510" w:rsidR="00C628CB" w:rsidRDefault="00045821" w:rsidP="00045821">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045821">
        <w:rPr>
          <w:rFonts w:asciiTheme="majorHAnsi" w:eastAsiaTheme="minorEastAsia" w:hAnsiTheme="majorHAnsi" w:cs="ITCAvantGardeStd-BkCn"/>
          <w:color w:val="000000"/>
        </w:rPr>
        <w:t>Funders can be a vital element of the change process, shaping possibilities for institutions and systems. External funding can catalyze campus change and leverage internal resources and support. Seek out funders who support educational development and ensure that grant proposals for educational improvement include funds for professional learning. Think strategically about how to use short-term funds to build capacity and create long-term change.</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C628CB" w:rsidRPr="00BB245F" w14:paraId="3DBE89D9"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12101276"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06F8C775" w14:textId="77777777" w:rsidR="00045821" w:rsidRPr="00045821" w:rsidRDefault="00045821" w:rsidP="00045821">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45821">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110886D5" w14:textId="1173EA81" w:rsidR="00045821" w:rsidRPr="00045821" w:rsidRDefault="00045821" w:rsidP="00045821">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45821">
              <w:rPr>
                <w:rFonts w:asciiTheme="majorHAnsi" w:eastAsiaTheme="minorEastAsia" w:hAnsiTheme="majorHAnsi" w:cs="ITCAvantGardeStd-BkCn"/>
                <w:color w:val="000000"/>
                <w:sz w:val="20"/>
                <w:szCs w:val="20"/>
              </w:rPr>
              <w:t>A. Our campus efforts to advance professional learning and educational development effectively seek out and attract external fu</w:t>
            </w:r>
            <w:r>
              <w:rPr>
                <w:rFonts w:asciiTheme="majorHAnsi" w:eastAsiaTheme="minorEastAsia" w:hAnsiTheme="majorHAnsi" w:cs="ITCAvantGardeStd-BkCn"/>
                <w:color w:val="000000"/>
                <w:sz w:val="20"/>
                <w:szCs w:val="20"/>
              </w:rPr>
              <w:t>nding.  Rate: 1 – 2 – 3 – 4 – 5</w:t>
            </w:r>
          </w:p>
          <w:p w14:paraId="0F295D1E" w14:textId="230261A4" w:rsidR="00045821" w:rsidRPr="00045821" w:rsidRDefault="00045821" w:rsidP="00045821">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45821">
              <w:rPr>
                <w:rFonts w:asciiTheme="majorHAnsi" w:eastAsiaTheme="minorEastAsia" w:hAnsiTheme="majorHAnsi" w:cs="ITCAvantGardeStd-BkCn"/>
                <w:color w:val="000000"/>
                <w:sz w:val="20"/>
                <w:szCs w:val="20"/>
              </w:rPr>
              <w:t>B. Our campus Grants (and/or Development) Office effectively identifies funders and funding opportunities for professional learni</w:t>
            </w:r>
            <w:r>
              <w:rPr>
                <w:rFonts w:asciiTheme="majorHAnsi" w:eastAsiaTheme="minorEastAsia" w:hAnsiTheme="majorHAnsi" w:cs="ITCAvantGardeStd-BkCn"/>
                <w:color w:val="000000"/>
                <w:sz w:val="20"/>
                <w:szCs w:val="20"/>
              </w:rPr>
              <w:t>ng and educational development. Rate: 1 – 2 – 3 – 4 – 5</w:t>
            </w:r>
          </w:p>
          <w:p w14:paraId="40E6032B" w14:textId="23199FA6" w:rsidR="00045821" w:rsidRPr="00045821" w:rsidRDefault="00045821" w:rsidP="00045821">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045821">
              <w:rPr>
                <w:rFonts w:asciiTheme="majorHAnsi" w:eastAsiaTheme="minorEastAsia" w:hAnsiTheme="majorHAnsi" w:cs="ITCAvantGardeStd-BkCn"/>
                <w:color w:val="000000"/>
                <w:sz w:val="20"/>
                <w:szCs w:val="20"/>
              </w:rPr>
              <w:t xml:space="preserve">C. When our College seeks funding for student success, it consistently builds in budget items for professional learning for faculty and </w:t>
            </w:r>
            <w:r>
              <w:rPr>
                <w:rFonts w:asciiTheme="majorHAnsi" w:eastAsiaTheme="minorEastAsia" w:hAnsiTheme="majorHAnsi" w:cs="ITCAvantGardeStd-BkCn"/>
                <w:color w:val="000000"/>
                <w:sz w:val="20"/>
                <w:szCs w:val="20"/>
              </w:rPr>
              <w:t>staff.  Rate: 1 – 2 – 3 – 4 – 5</w:t>
            </w:r>
          </w:p>
          <w:p w14:paraId="3F6BF517" w14:textId="2965A2D3" w:rsidR="00C628CB" w:rsidRPr="00BB245F" w:rsidRDefault="00045821" w:rsidP="00045821">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045821">
              <w:rPr>
                <w:rFonts w:asciiTheme="majorHAnsi" w:eastAsiaTheme="minorEastAsia" w:hAnsiTheme="majorHAnsi" w:cs="ITCAvantGardeStd-BkCn"/>
                <w:color w:val="000000"/>
                <w:sz w:val="20"/>
                <w:szCs w:val="20"/>
              </w:rPr>
              <w:t>D. Grant funded professional learning programs on our campus are effectively institution</w:t>
            </w:r>
            <w:r>
              <w:rPr>
                <w:rFonts w:asciiTheme="majorHAnsi" w:eastAsiaTheme="minorEastAsia" w:hAnsiTheme="majorHAnsi" w:cs="ITCAvantGardeStd-BkCn"/>
                <w:color w:val="000000"/>
                <w:sz w:val="20"/>
                <w:szCs w:val="20"/>
              </w:rPr>
              <w:t xml:space="preserve">alized when grant funding ends. </w:t>
            </w:r>
            <w:r w:rsidRPr="00045821">
              <w:rPr>
                <w:rFonts w:asciiTheme="majorHAnsi" w:eastAsiaTheme="minorEastAsia" w:hAnsiTheme="majorHAnsi" w:cs="ITCAvantGardeStd-BkCn"/>
                <w:color w:val="000000"/>
                <w:sz w:val="20"/>
                <w:szCs w:val="20"/>
              </w:rP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BA645DA"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3F9F91D7" w14:textId="77777777" w:rsidR="00992589" w:rsidRPr="00992589" w:rsidRDefault="00992589" w:rsidP="00992589">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92589">
              <w:rPr>
                <w:rFonts w:asciiTheme="majorHAnsi" w:eastAsiaTheme="minorEastAsia" w:hAnsiTheme="majorHAnsi" w:cs="ITCAvantGardeStd-BkCn"/>
                <w:color w:val="000000"/>
                <w:sz w:val="20"/>
                <w:szCs w:val="20"/>
              </w:rPr>
              <w:t>Thinking about this Good Practice Principle, your experience, and your answers to the Inquiry Starters, please briefly highlight two to three challenges and/or strengths of our practice.</w:t>
            </w:r>
          </w:p>
          <w:p w14:paraId="24D29583" w14:textId="6285BC8E"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p>
        </w:tc>
      </w:tr>
      <w:tr w:rsidR="00C628CB" w:rsidRPr="00BB245F" w14:paraId="439588AF" w14:textId="77777777" w:rsidTr="00045821">
        <w:trPr>
          <w:trHeight w:val="3320"/>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1BB19B4" w14:textId="77777777" w:rsidR="00C628CB" w:rsidRPr="00005AD0"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1F66BE0C" w14:textId="2F24F71B" w:rsidR="00C628CB" w:rsidRPr="007B4348" w:rsidRDefault="00045821" w:rsidP="00045821">
            <w:pPr>
              <w:widowControl w:val="0"/>
              <w:suppressAutoHyphens/>
              <w:autoSpaceDE w:val="0"/>
              <w:autoSpaceDN w:val="0"/>
              <w:adjustRightInd w:val="0"/>
              <w:spacing w:line="288" w:lineRule="auto"/>
              <w:textAlignment w:val="center"/>
              <w:rPr>
                <w:rFonts w:asciiTheme="majorHAnsi" w:eastAsiaTheme="minorEastAsia" w:hAnsiTheme="majorHAnsi" w:cs="ITCAvantGardeStd-BkCn"/>
                <w:color w:val="000000"/>
                <w:sz w:val="18"/>
                <w:szCs w:val="18"/>
              </w:rPr>
            </w:pPr>
            <w:r w:rsidRPr="007B4348">
              <w:rPr>
                <w:rFonts w:asciiTheme="majorHAnsi" w:eastAsiaTheme="minorEastAsia" w:hAnsiTheme="majorHAnsi" w:cs="ITCAvantGardeStd-BkCn"/>
                <w:color w:val="000000"/>
                <w:sz w:val="20"/>
                <w:szCs w:val="18"/>
              </w:rPr>
              <w:t>How can we more effectively identify, attract and leverage external funding to support professional learning and educational change? What steps can we take, as part of our work, to build capacity in this area?</w:t>
            </w:r>
            <w:bookmarkStart w:id="0" w:name="_GoBack"/>
            <w:bookmarkEnd w:id="0"/>
          </w:p>
        </w:tc>
      </w:tr>
    </w:tbl>
    <w:p w14:paraId="4D5DF07C" w14:textId="1AE9E211" w:rsidR="00C628CB" w:rsidRPr="00B85CD2" w:rsidRDefault="00C628CB" w:rsidP="00C628CB">
      <w:pPr>
        <w:spacing w:line="240" w:lineRule="auto"/>
        <w:ind w:left="-450" w:right="-90"/>
        <w:jc w:val="center"/>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80768" behindDoc="1" locked="0" layoutInCell="1" allowOverlap="1" wp14:anchorId="40AD0606" wp14:editId="48CCE434">
            <wp:simplePos x="0" y="0"/>
            <wp:positionH relativeFrom="column">
              <wp:posOffset>-228600</wp:posOffset>
            </wp:positionH>
            <wp:positionV relativeFrom="paragraph">
              <wp:posOffset>3810</wp:posOffset>
            </wp:positionV>
            <wp:extent cx="5943600" cy="401744"/>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sidR="00B34A1D">
        <w:rPr>
          <w:rFonts w:asciiTheme="majorHAnsi" w:hAnsiTheme="majorHAnsi"/>
          <w:color w:val="FFFFFF" w:themeColor="background1"/>
          <w:position w:val="-40"/>
          <w:sz w:val="24"/>
          <w:szCs w:val="24"/>
        </w:rPr>
        <w:t>4</w:t>
      </w:r>
      <w:r w:rsidRPr="00B85CD2">
        <w:rPr>
          <w:rFonts w:asciiTheme="majorHAnsi" w:hAnsiTheme="majorHAnsi"/>
          <w:color w:val="FFFFFF" w:themeColor="background1"/>
          <w:position w:val="-40"/>
          <w:sz w:val="24"/>
          <w:szCs w:val="24"/>
        </w:rPr>
        <w:t>.</w:t>
      </w:r>
      <w:r w:rsidR="00A10BED">
        <w:rPr>
          <w:rFonts w:asciiTheme="majorHAnsi" w:hAnsiTheme="majorHAnsi"/>
          <w:color w:val="FFFFFF" w:themeColor="background1"/>
          <w:position w:val="-40"/>
          <w:sz w:val="24"/>
          <w:szCs w:val="24"/>
        </w:rPr>
        <w:t>8</w:t>
      </w:r>
    </w:p>
    <w:p w14:paraId="27DFA46F" w14:textId="10BD5028" w:rsidR="00C628CB" w:rsidRPr="00BB245F" w:rsidRDefault="00C628CB" w:rsidP="00B413DD">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BB245F">
        <w:rPr>
          <w:rFonts w:asciiTheme="majorHAnsi" w:hAnsiTheme="majorHAnsi"/>
          <w:color w:val="7F7F7F" w:themeColor="text1" w:themeTint="80"/>
          <w:sz w:val="36"/>
          <w:szCs w:val="36"/>
        </w:rPr>
        <w:t>Good Practice Principle #</w:t>
      </w:r>
      <w:r w:rsidR="00B34A1D">
        <w:rPr>
          <w:rFonts w:asciiTheme="majorHAnsi" w:hAnsiTheme="majorHAnsi"/>
          <w:color w:val="7F7F7F" w:themeColor="text1" w:themeTint="80"/>
          <w:sz w:val="36"/>
          <w:szCs w:val="36"/>
        </w:rPr>
        <w:t>16</w:t>
      </w:r>
      <w:r w:rsidRPr="00BB245F">
        <w:rPr>
          <w:rFonts w:asciiTheme="majorHAnsi" w:hAnsiTheme="majorHAnsi"/>
          <w:color w:val="7F7F7F" w:themeColor="text1" w:themeTint="80"/>
          <w:sz w:val="36"/>
          <w:szCs w:val="36"/>
        </w:rPr>
        <w:t xml:space="preserve"> (</w:t>
      </w:r>
      <w:proofErr w:type="spellStart"/>
      <w:r w:rsidR="00B34A1D">
        <w:rPr>
          <w:rFonts w:asciiTheme="majorHAnsi" w:hAnsiTheme="majorHAnsi"/>
          <w:color w:val="7F7F7F" w:themeColor="text1" w:themeTint="80"/>
          <w:sz w:val="36"/>
          <w:szCs w:val="36"/>
        </w:rPr>
        <w:t>Ecosystemic</w:t>
      </w:r>
      <w:proofErr w:type="spellEnd"/>
      <w:r w:rsidR="00B34A1D" w:rsidRPr="00BB245F">
        <w:rPr>
          <w:rFonts w:asciiTheme="majorHAnsi" w:hAnsiTheme="majorHAnsi"/>
          <w:color w:val="7F7F7F" w:themeColor="text1" w:themeTint="80"/>
          <w:sz w:val="36"/>
          <w:szCs w:val="36"/>
        </w:rPr>
        <w:t xml:space="preserve"> </w:t>
      </w:r>
      <w:r w:rsidRPr="00BB245F">
        <w:rPr>
          <w:rFonts w:asciiTheme="majorHAnsi" w:hAnsiTheme="majorHAnsi"/>
          <w:color w:val="7F7F7F" w:themeColor="text1" w:themeTint="80"/>
          <w:sz w:val="36"/>
          <w:szCs w:val="36"/>
        </w:rPr>
        <w:t>Dimension)</w:t>
      </w:r>
      <w:r w:rsidRPr="00BB245F">
        <w:rPr>
          <w:rFonts w:asciiTheme="majorHAnsi" w:hAnsiTheme="majorHAnsi"/>
          <w:b/>
          <w:color w:val="00836C"/>
          <w:sz w:val="36"/>
          <w:szCs w:val="36"/>
        </w:rPr>
        <w:br/>
      </w:r>
      <w:r w:rsidR="00B413DD" w:rsidRPr="00B413DD">
        <w:rPr>
          <w:rFonts w:asciiTheme="majorHAnsi" w:hAnsiTheme="majorHAnsi"/>
          <w:b/>
          <w:color w:val="00836C"/>
          <w:sz w:val="36"/>
          <w:szCs w:val="36"/>
        </w:rPr>
        <w:t>Engage Internal and External Stakeholders</w:t>
      </w:r>
    </w:p>
    <w:p w14:paraId="49B3F291" w14:textId="210BF27F" w:rsidR="00C628CB" w:rsidRDefault="00B413DD" w:rsidP="00B413DD">
      <w:pPr>
        <w:widowControl w:val="0"/>
        <w:autoSpaceDE w:val="0"/>
        <w:autoSpaceDN w:val="0"/>
        <w:adjustRightInd w:val="0"/>
        <w:spacing w:after="180" w:line="300" w:lineRule="atLeast"/>
        <w:ind w:left="-360"/>
        <w:textAlignment w:val="center"/>
        <w:rPr>
          <w:rFonts w:asciiTheme="majorHAnsi" w:eastAsiaTheme="minorEastAsia" w:hAnsiTheme="majorHAnsi" w:cs="ITCAvantGardeStd-BkCn"/>
          <w:color w:val="000000"/>
        </w:rPr>
      </w:pPr>
      <w:r w:rsidRPr="00B413DD">
        <w:rPr>
          <w:rFonts w:asciiTheme="majorHAnsi" w:eastAsiaTheme="minorEastAsia" w:hAnsiTheme="majorHAnsi" w:cs="ITCAvantGardeStd-BkCn"/>
          <w:color w:val="000000"/>
        </w:rPr>
        <w:t>The campus environment for professional learning and educational improvement is shaped by an array of systemic actors. Interactions with higher education organizations, leaders of regional and state systems, trustees, advisory boards, funders, professional associations, and accreditors offer valuable opportunities for identifying and building essential support for a sustainable culture of teaching and learning excellence.</w:t>
      </w:r>
    </w:p>
    <w:tbl>
      <w:tblPr>
        <w:tblW w:w="9360" w:type="dxa"/>
        <w:tblInd w:w="-280" w:type="dxa"/>
        <w:shd w:val="clear" w:color="00529B" w:fill="DBE5F1" w:themeFill="accent1" w:themeFillTint="33"/>
        <w:tblLayout w:type="fixed"/>
        <w:tblCellMar>
          <w:left w:w="0" w:type="dxa"/>
          <w:right w:w="0" w:type="dxa"/>
        </w:tblCellMar>
        <w:tblLook w:val="0000" w:firstRow="0" w:lastRow="0" w:firstColumn="0" w:lastColumn="0" w:noHBand="0" w:noVBand="0"/>
      </w:tblPr>
      <w:tblGrid>
        <w:gridCol w:w="4680"/>
        <w:gridCol w:w="4680"/>
      </w:tblGrid>
      <w:tr w:rsidR="00C628CB" w:rsidRPr="00BB245F" w14:paraId="6BCCA965" w14:textId="77777777" w:rsidTr="007E78CC">
        <w:trPr>
          <w:trHeight w:val="4550"/>
        </w:trPr>
        <w:tc>
          <w:tcPr>
            <w:tcW w:w="4680" w:type="dxa"/>
            <w:tcBorders>
              <w:top w:val="single" w:sz="8" w:space="0" w:color="000000"/>
              <w:left w:val="single" w:sz="8" w:space="0" w:color="000000"/>
              <w:bottom w:val="single" w:sz="8" w:space="0" w:color="000000"/>
              <w:right w:val="dashed" w:sz="4" w:space="0" w:color="000000"/>
            </w:tcBorders>
            <w:shd w:val="clear" w:color="00529B" w:fill="DBE5F1" w:themeFill="accent1" w:themeFillTint="33"/>
            <w:tcMar>
              <w:top w:w="80" w:type="dxa"/>
              <w:left w:w="80" w:type="dxa"/>
              <w:bottom w:w="80" w:type="dxa"/>
              <w:right w:w="80" w:type="dxa"/>
            </w:tcMar>
          </w:tcPr>
          <w:p w14:paraId="176D8004"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000000"/>
              </w:rPr>
            </w:pPr>
            <w:r w:rsidRPr="00BB245F">
              <w:rPr>
                <w:rFonts w:asciiTheme="majorHAnsi" w:eastAsiaTheme="minorEastAsia" w:hAnsiTheme="majorHAnsi" w:cs="ITCAvantGardeStd-DemiCn"/>
                <w:b/>
                <w:color w:val="000000"/>
              </w:rPr>
              <w:t>1. Inquiry Starters</w:t>
            </w:r>
          </w:p>
          <w:p w14:paraId="76FA89E8" w14:textId="77777777" w:rsidR="00B413DD" w:rsidRPr="00B413DD" w:rsidRDefault="00B413DD" w:rsidP="00B413DD">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B413DD">
              <w:rPr>
                <w:rFonts w:asciiTheme="majorHAnsi" w:eastAsiaTheme="minorEastAsia" w:hAnsiTheme="majorHAnsi" w:cs="ITCAvantGardeStd-BkCn"/>
                <w:color w:val="000000"/>
                <w:sz w:val="20"/>
                <w:szCs w:val="20"/>
              </w:rPr>
              <w:t>For each question, please rate our campus professional learning practice, using a scale of 1 to 5 in which 1 is Strongly Agree, 3 is Neutral, and 5 is Strongly Disagree</w:t>
            </w:r>
          </w:p>
          <w:p w14:paraId="04898F08" w14:textId="732A3376" w:rsidR="00B413DD" w:rsidRPr="00B413DD" w:rsidRDefault="00B413DD" w:rsidP="00B413DD">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B413DD">
              <w:rPr>
                <w:rFonts w:asciiTheme="majorHAnsi" w:eastAsiaTheme="minorEastAsia" w:hAnsiTheme="majorHAnsi" w:cs="ITCAvantGardeStd-BkCn"/>
                <w:color w:val="000000"/>
                <w:sz w:val="20"/>
                <w:szCs w:val="20"/>
              </w:rPr>
              <w:t>A. Our engagement with regional or national educational reform networks and movements (e.g., Achieving the Dream, Guided Pathways, etc.) supports our educational development e</w:t>
            </w:r>
            <w:r>
              <w:rPr>
                <w:rFonts w:asciiTheme="majorHAnsi" w:eastAsiaTheme="minorEastAsia" w:hAnsiTheme="majorHAnsi" w:cs="ITCAvantGardeStd-BkCn"/>
                <w:color w:val="000000"/>
                <w:sz w:val="20"/>
                <w:szCs w:val="20"/>
              </w:rPr>
              <w:t>fforts.</w:t>
            </w:r>
            <w:r>
              <w:rPr>
                <w:rFonts w:asciiTheme="majorHAnsi" w:eastAsiaTheme="minorEastAsia" w:hAnsiTheme="majorHAnsi" w:cs="ITCAvantGardeStd-BkCn"/>
                <w:color w:val="000000"/>
                <w:sz w:val="20"/>
                <w:szCs w:val="20"/>
              </w:rPr>
              <w:br/>
              <w:t>Rate: 1 – 2 – 3 – 4 – 5</w:t>
            </w:r>
          </w:p>
          <w:p w14:paraId="2C40E23A" w14:textId="46E610A8" w:rsidR="00B413DD" w:rsidRPr="00B413DD" w:rsidRDefault="00B413DD" w:rsidP="00B413DD">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B413DD">
              <w:rPr>
                <w:rFonts w:asciiTheme="majorHAnsi" w:eastAsiaTheme="minorEastAsia" w:hAnsiTheme="majorHAnsi" w:cs="ITCAvantGardeStd-BkCn"/>
                <w:color w:val="000000"/>
                <w:sz w:val="20"/>
                <w:szCs w:val="20"/>
              </w:rPr>
              <w:t xml:space="preserve">B. Our system office (e.g., regional or state university systems) is aware of the value of our professional learning and educational improvement efforts. </w:t>
            </w:r>
            <w:r>
              <w:rPr>
                <w:rFonts w:asciiTheme="majorHAnsi" w:eastAsiaTheme="minorEastAsia" w:hAnsiTheme="majorHAnsi" w:cs="ITCAvantGardeStd-BkCn"/>
                <w:color w:val="000000"/>
                <w:sz w:val="20"/>
                <w:szCs w:val="20"/>
              </w:rPr>
              <w:br/>
              <w:t>Rate: 1 – 2 – 3 – 4 – 5</w:t>
            </w:r>
          </w:p>
          <w:p w14:paraId="50338703" w14:textId="18D49472" w:rsidR="00B413DD" w:rsidRPr="00B413DD" w:rsidRDefault="00B413DD" w:rsidP="00B413DD">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B413DD">
              <w:rPr>
                <w:rFonts w:asciiTheme="majorHAnsi" w:eastAsiaTheme="minorEastAsia" w:hAnsiTheme="majorHAnsi" w:cs="ITCAvantGardeStd-BkCn"/>
                <w:color w:val="000000"/>
                <w:sz w:val="20"/>
                <w:szCs w:val="20"/>
              </w:rPr>
              <w:t>C. Our educational development efforts take advantage of ways that professional associations and accreditors value professional learnin</w:t>
            </w:r>
            <w:r>
              <w:rPr>
                <w:rFonts w:asciiTheme="majorHAnsi" w:eastAsiaTheme="minorEastAsia" w:hAnsiTheme="majorHAnsi" w:cs="ITCAvantGardeStd-BkCn"/>
                <w:color w:val="000000"/>
                <w:sz w:val="20"/>
                <w:szCs w:val="20"/>
              </w:rPr>
              <w:t xml:space="preserve">g and educational improvement. </w:t>
            </w:r>
            <w:r w:rsidRPr="00B413DD">
              <w:rPr>
                <w:rFonts w:asciiTheme="majorHAnsi" w:eastAsiaTheme="minorEastAsia" w:hAnsiTheme="majorHAnsi" w:cs="ITCAvantGardeStd-BkCn"/>
                <w:color w:val="000000"/>
                <w:sz w:val="20"/>
                <w:szCs w:val="20"/>
              </w:rPr>
              <w:t>Rate: 1 – 2</w:t>
            </w:r>
            <w:r>
              <w:rPr>
                <w:rFonts w:asciiTheme="majorHAnsi" w:eastAsiaTheme="minorEastAsia" w:hAnsiTheme="majorHAnsi" w:cs="ITCAvantGardeStd-BkCn"/>
                <w:color w:val="000000"/>
                <w:sz w:val="20"/>
                <w:szCs w:val="20"/>
              </w:rPr>
              <w:t xml:space="preserve"> – 3 – 4 – 5</w:t>
            </w:r>
          </w:p>
          <w:p w14:paraId="20583F57" w14:textId="63CF63EA" w:rsidR="00C628CB" w:rsidRPr="00BB245F" w:rsidRDefault="00B413DD" w:rsidP="00B413DD">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rPr>
            </w:pPr>
            <w:r w:rsidRPr="00B413DD">
              <w:rPr>
                <w:rFonts w:asciiTheme="majorHAnsi" w:eastAsiaTheme="minorEastAsia" w:hAnsiTheme="majorHAnsi" w:cs="ITCAvantGardeStd-BkCn"/>
                <w:color w:val="000000"/>
                <w:sz w:val="20"/>
                <w:szCs w:val="20"/>
              </w:rPr>
              <w:t xml:space="preserve">D. Our campus actively seeks opportunities to connect diverse stakeholders and build a shared commitment to professional learning and educational development. </w:t>
            </w:r>
            <w:r w:rsidRPr="00B413DD">
              <w:rPr>
                <w:rFonts w:asciiTheme="majorHAnsi" w:eastAsiaTheme="minorEastAsia" w:hAnsiTheme="majorHAnsi" w:cs="ITCAvantGardeStd-BkCn"/>
                <w:color w:val="000000"/>
                <w:sz w:val="20"/>
                <w:szCs w:val="20"/>
              </w:rPr>
              <w:br/>
              <w:t>Rate: 1 – 2 – 3 – 4 – 5</w:t>
            </w:r>
          </w:p>
        </w:tc>
        <w:tc>
          <w:tcPr>
            <w:tcW w:w="4680" w:type="dxa"/>
            <w:tcBorders>
              <w:top w:val="single" w:sz="8" w:space="0" w:color="000000"/>
              <w:left w:val="dashed" w:sz="4"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482A639" w14:textId="77777777" w:rsidR="00C628CB" w:rsidRPr="00BB245F"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BB245F">
              <w:rPr>
                <w:rFonts w:asciiTheme="majorHAnsi" w:eastAsiaTheme="minorEastAsia" w:hAnsiTheme="majorHAnsi" w:cs="ITCAvantGardeStd-DemiCn"/>
                <w:b/>
                <w:color w:val="000000"/>
              </w:rPr>
              <w:t>2. Identifying Challenges &amp; Strengths</w:t>
            </w:r>
          </w:p>
          <w:p w14:paraId="1CCAF752" w14:textId="77777777" w:rsidR="00992589" w:rsidRPr="00992589" w:rsidRDefault="00992589" w:rsidP="00992589">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992589">
              <w:rPr>
                <w:rFonts w:asciiTheme="majorHAnsi" w:eastAsiaTheme="minorEastAsia" w:hAnsiTheme="majorHAnsi" w:cs="ITCAvantGardeStd-BkCn"/>
                <w:color w:val="000000"/>
                <w:sz w:val="20"/>
                <w:szCs w:val="20"/>
              </w:rPr>
              <w:t>Thinking about this Good Practice Principle, your experience, and your answers to the Inquiry Starters, please briefly highlight two to three challenges and/or strengths of our practice.</w:t>
            </w:r>
          </w:p>
          <w:p w14:paraId="532FCCB2" w14:textId="67AAC16A" w:rsidR="00C628CB" w:rsidRPr="00005AD0" w:rsidRDefault="00C628CB" w:rsidP="007E78CC">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p>
        </w:tc>
      </w:tr>
      <w:tr w:rsidR="00C628CB" w:rsidRPr="00BB245F" w14:paraId="55232771" w14:textId="77777777" w:rsidTr="002B6079">
        <w:trPr>
          <w:trHeight w:val="2420"/>
        </w:trPr>
        <w:tc>
          <w:tcPr>
            <w:tcW w:w="9360" w:type="dxa"/>
            <w:gridSpan w:val="2"/>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58B74A4" w14:textId="77777777" w:rsidR="00C628CB" w:rsidRPr="00005AD0" w:rsidRDefault="00C628CB" w:rsidP="007E78CC">
            <w:pPr>
              <w:widowControl w:val="0"/>
              <w:suppressAutoHyphens/>
              <w:autoSpaceDE w:val="0"/>
              <w:autoSpaceDN w:val="0"/>
              <w:adjustRightInd w:val="0"/>
              <w:spacing w:after="90" w:line="288" w:lineRule="auto"/>
              <w:ind w:left="10" w:firstLine="10"/>
              <w:textAlignment w:val="center"/>
              <w:rPr>
                <w:rFonts w:asciiTheme="majorHAnsi" w:eastAsiaTheme="minorEastAsia" w:hAnsiTheme="majorHAnsi" w:cs="ITCAvantGardeStd-DemiCn"/>
                <w:b/>
                <w:color w:val="FFFFFF"/>
              </w:rPr>
            </w:pPr>
            <w:r w:rsidRPr="00005AD0">
              <w:rPr>
                <w:rFonts w:asciiTheme="majorHAnsi" w:eastAsiaTheme="minorEastAsia" w:hAnsiTheme="majorHAnsi" w:cs="ITCAvantGardeStd-DemiCn"/>
                <w:b/>
                <w:color w:val="000000"/>
              </w:rPr>
              <w:t xml:space="preserve">3. Planning Forward </w:t>
            </w:r>
          </w:p>
          <w:p w14:paraId="31318E0C" w14:textId="4D7F8884" w:rsidR="00C628CB" w:rsidRPr="002B6079" w:rsidRDefault="002B6079" w:rsidP="002B6079">
            <w:pPr>
              <w:widowControl w:val="0"/>
              <w:suppressAutoHyphens/>
              <w:autoSpaceDE w:val="0"/>
              <w:autoSpaceDN w:val="0"/>
              <w:adjustRightInd w:val="0"/>
              <w:spacing w:line="288" w:lineRule="auto"/>
              <w:ind w:left="10" w:firstLine="10"/>
              <w:textAlignment w:val="center"/>
              <w:rPr>
                <w:rFonts w:asciiTheme="majorHAnsi" w:eastAsiaTheme="minorEastAsia" w:hAnsiTheme="majorHAnsi" w:cs="ITCAvantGardeStd-BkCn"/>
                <w:color w:val="000000"/>
                <w:sz w:val="20"/>
                <w:szCs w:val="20"/>
              </w:rPr>
            </w:pPr>
            <w:r w:rsidRPr="002B6079">
              <w:rPr>
                <w:rFonts w:asciiTheme="majorHAnsi" w:eastAsiaTheme="minorEastAsia" w:hAnsiTheme="majorHAnsi" w:cs="ITCAvantGardeStd-BkCn"/>
                <w:color w:val="000000"/>
                <w:sz w:val="20"/>
                <w:szCs w:val="20"/>
              </w:rPr>
              <w:t>How can our campus better connect our educational development work with our external partnerships (e.g., our work with ATD and other education reform groups)? What steps can we take to encourage and support this?</w:t>
            </w:r>
          </w:p>
        </w:tc>
      </w:tr>
    </w:tbl>
    <w:p w14:paraId="44E9FA1A" w14:textId="245E44FE" w:rsidR="00F07678" w:rsidRPr="00B85CD2" w:rsidRDefault="00F07678" w:rsidP="00C2795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2336" behindDoc="1" locked="0" layoutInCell="1" allowOverlap="1" wp14:anchorId="2CD722C7" wp14:editId="2EBC6D77">
            <wp:simplePos x="0" y="0"/>
            <wp:positionH relativeFrom="column">
              <wp:posOffset>-228600</wp:posOffset>
            </wp:positionH>
            <wp:positionV relativeFrom="paragraph">
              <wp:posOffset>3810</wp:posOffset>
            </wp:positionV>
            <wp:extent cx="5943600" cy="4017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w:t>
      </w:r>
      <w:r w:rsidR="00A53AA1">
        <w:rPr>
          <w:rFonts w:asciiTheme="majorHAnsi" w:hAnsiTheme="majorHAnsi"/>
          <w:color w:val="FFFFFF" w:themeColor="background1"/>
          <w:position w:val="-40"/>
          <w:sz w:val="24"/>
          <w:szCs w:val="24"/>
        </w:rPr>
        <w:t xml:space="preserve"> </w:t>
      </w:r>
      <w:r w:rsidR="005E2427">
        <w:rPr>
          <w:rFonts w:asciiTheme="majorHAnsi" w:hAnsiTheme="majorHAnsi"/>
          <w:color w:val="FFFFFF" w:themeColor="background1"/>
          <w:position w:val="-40"/>
          <w:sz w:val="24"/>
          <w:szCs w:val="24"/>
        </w:rPr>
        <w:t>4</w:t>
      </w:r>
      <w:r w:rsidR="000C1191">
        <w:rPr>
          <w:rFonts w:asciiTheme="majorHAnsi" w:hAnsiTheme="majorHAnsi"/>
          <w:color w:val="FFFFFF" w:themeColor="background1"/>
          <w:position w:val="-40"/>
          <w:sz w:val="24"/>
          <w:szCs w:val="24"/>
        </w:rPr>
        <w:t>.</w:t>
      </w:r>
      <w:r w:rsidR="00A10BED">
        <w:rPr>
          <w:rFonts w:asciiTheme="majorHAnsi" w:hAnsiTheme="majorHAnsi"/>
          <w:color w:val="FFFFFF" w:themeColor="background1"/>
          <w:position w:val="-40"/>
          <w:sz w:val="24"/>
          <w:szCs w:val="24"/>
        </w:rPr>
        <w:t>9</w:t>
      </w:r>
    </w:p>
    <w:p w14:paraId="6911436B" w14:textId="77777777" w:rsidR="005E2427" w:rsidRPr="005E2427" w:rsidRDefault="005E2427" w:rsidP="005E2427">
      <w:pPr>
        <w:spacing w:before="240" w:line="240" w:lineRule="atLeast"/>
        <w:ind w:left="-274" w:hanging="14"/>
        <w:jc w:val="center"/>
        <w:rPr>
          <w:rFonts w:asciiTheme="majorHAnsi" w:hAnsiTheme="majorHAnsi"/>
          <w:b/>
          <w:color w:val="00836C"/>
          <w:sz w:val="36"/>
          <w:szCs w:val="36"/>
        </w:rPr>
      </w:pPr>
      <w:r w:rsidRPr="005E2427">
        <w:rPr>
          <w:rFonts w:asciiTheme="majorHAnsi" w:hAnsiTheme="majorHAnsi"/>
          <w:b/>
          <w:color w:val="00836C"/>
          <w:sz w:val="36"/>
          <w:szCs w:val="36"/>
        </w:rPr>
        <w:t>Strategic Connections</w:t>
      </w:r>
    </w:p>
    <w:p w14:paraId="5D8BAE56" w14:textId="77777777" w:rsidR="005E2427" w:rsidRPr="005E2427" w:rsidRDefault="005E2427" w:rsidP="005E2427">
      <w:pPr>
        <w:spacing w:line="240" w:lineRule="auto"/>
        <w:ind w:left="-274"/>
        <w:rPr>
          <w:rFonts w:asciiTheme="majorHAnsi" w:eastAsiaTheme="minorEastAsia" w:hAnsiTheme="majorHAnsi" w:cs="ITCAvantGardeStd-BkCn"/>
          <w:color w:val="000000"/>
        </w:rPr>
      </w:pPr>
      <w:r w:rsidRPr="005E2427">
        <w:rPr>
          <w:rFonts w:asciiTheme="majorHAnsi" w:eastAsiaTheme="minorEastAsia" w:hAnsiTheme="majorHAnsi" w:cs="ITCAvantGardeStd-BkCn"/>
          <w:color w:val="000000"/>
        </w:rPr>
        <w:t>How can your team strategically position your professional learning program? This worksheet invites you to begin developing a plan for attracting the support needed to strengthen your professional learning initiatives and foster a rich culture of teaching and learning excellence.</w:t>
      </w:r>
    </w:p>
    <w:p w14:paraId="52ABFACC" w14:textId="77777777" w:rsidR="005E2427" w:rsidRPr="005E2427" w:rsidRDefault="005E2427" w:rsidP="005E2427">
      <w:pPr>
        <w:spacing w:line="240" w:lineRule="auto"/>
        <w:ind w:left="-274"/>
        <w:rPr>
          <w:rFonts w:asciiTheme="majorHAnsi" w:eastAsiaTheme="minorEastAsia" w:hAnsiTheme="majorHAnsi" w:cs="ITCAvantGardeStd-BkCn"/>
          <w:color w:val="000000"/>
        </w:rPr>
      </w:pPr>
      <w:r w:rsidRPr="005E2427">
        <w:rPr>
          <w:rFonts w:asciiTheme="majorHAnsi" w:eastAsiaTheme="minorEastAsia" w:hAnsiTheme="majorHAnsi" w:cs="ITCAvantGardeStd-BkCn"/>
          <w:b/>
          <w:bCs/>
          <w:color w:val="000000"/>
        </w:rPr>
        <w:t>Step 1: Designing for Excellence.</w:t>
      </w:r>
      <w:r w:rsidRPr="005E2427">
        <w:rPr>
          <w:rFonts w:asciiTheme="majorHAnsi" w:eastAsiaTheme="minorEastAsia" w:hAnsiTheme="majorHAnsi" w:cs="ITCAvantGardeStd-BkCn"/>
          <w:color w:val="000000"/>
        </w:rPr>
        <w:t xml:space="preserve"> As a team, briefly review the evidence-based practices and preliminary designs for professional learning that we discussed in Worksheet 3.9. What professional learning features strike you as particularly exciting or crucial?</w:t>
      </w:r>
    </w:p>
    <w:p w14:paraId="2AC150FB" w14:textId="77777777" w:rsidR="005E2427" w:rsidRPr="005E2427" w:rsidRDefault="005E2427" w:rsidP="005E2427">
      <w:pPr>
        <w:spacing w:line="240" w:lineRule="auto"/>
        <w:ind w:left="-274"/>
        <w:rPr>
          <w:rFonts w:asciiTheme="majorHAnsi" w:eastAsiaTheme="minorEastAsia" w:hAnsiTheme="majorHAnsi" w:cs="ITCAvantGardeStd-BkCn"/>
          <w:color w:val="000000"/>
        </w:rPr>
      </w:pPr>
      <w:r w:rsidRPr="005E2427">
        <w:rPr>
          <w:rFonts w:asciiTheme="majorHAnsi" w:eastAsiaTheme="minorEastAsia" w:hAnsiTheme="majorHAnsi" w:cs="ITCAvantGardeStd-BkCn"/>
          <w:b/>
          <w:bCs/>
          <w:color w:val="000000"/>
        </w:rPr>
        <w:t>Step 2: Strategic Integration.</w:t>
      </w:r>
      <w:r w:rsidRPr="005E2427">
        <w:rPr>
          <w:rFonts w:asciiTheme="majorHAnsi" w:eastAsiaTheme="minorEastAsia" w:hAnsiTheme="majorHAnsi" w:cs="ITCAvantGardeStd-BkCn"/>
          <w:color w:val="000000"/>
        </w:rPr>
        <w:t xml:space="preserve"> With these designs in mind, consider ways that you can make strategic connections and build institutional support for professional learning. Draw on your jigsaw discussion of the Institutional and </w:t>
      </w:r>
      <w:proofErr w:type="spellStart"/>
      <w:r w:rsidRPr="005E2427">
        <w:rPr>
          <w:rFonts w:asciiTheme="majorHAnsi" w:eastAsiaTheme="minorEastAsia" w:hAnsiTheme="majorHAnsi" w:cs="ITCAvantGardeStd-BkCn"/>
          <w:color w:val="000000"/>
        </w:rPr>
        <w:t>Ecosystemic</w:t>
      </w:r>
      <w:proofErr w:type="spellEnd"/>
      <w:r w:rsidRPr="005E2427">
        <w:rPr>
          <w:rFonts w:asciiTheme="majorHAnsi" w:eastAsiaTheme="minorEastAsia" w:hAnsiTheme="majorHAnsi" w:cs="ITCAvantGardeStd-BkCn"/>
          <w:color w:val="000000"/>
        </w:rPr>
        <w:t xml:space="preserve"> Good Practice Principles to plan and pursue these connections.</w:t>
      </w:r>
    </w:p>
    <w:p w14:paraId="554C8419" w14:textId="77777777" w:rsidR="005E2427" w:rsidRPr="005E2427" w:rsidRDefault="005E2427" w:rsidP="005E2427">
      <w:pPr>
        <w:spacing w:line="240" w:lineRule="auto"/>
        <w:ind w:left="576" w:hanging="288"/>
        <w:rPr>
          <w:rFonts w:asciiTheme="majorHAnsi" w:eastAsiaTheme="minorEastAsia" w:hAnsiTheme="majorHAnsi" w:cs="ITCAvantGardeStd-BkCn"/>
          <w:color w:val="000000"/>
        </w:rPr>
      </w:pPr>
      <w:r w:rsidRPr="005E2427">
        <w:rPr>
          <w:rFonts w:asciiTheme="majorHAnsi" w:eastAsiaTheme="minorEastAsia" w:hAnsiTheme="majorHAnsi" w:cs="ITCAvantGardeStd-BkCn"/>
          <w:color w:val="000000"/>
        </w:rPr>
        <w:t>•</w:t>
      </w:r>
      <w:r w:rsidRPr="005E2427">
        <w:rPr>
          <w:rFonts w:asciiTheme="majorHAnsi" w:eastAsiaTheme="minorEastAsia" w:hAnsiTheme="majorHAnsi" w:cs="ITCAvantGardeStd-BkCn"/>
          <w:color w:val="000000"/>
        </w:rPr>
        <w:tab/>
        <w:t>What institutional connections would strengthen your initiative? Are there ways you can connect changes in pedagogy with changes in curriculum and assessment? What partnerships linking Academic and Student Affairs could bolster your effort? How does your initiative support or advance your institution’s strategic goals?</w:t>
      </w:r>
    </w:p>
    <w:p w14:paraId="7374A7E4" w14:textId="77777777" w:rsidR="005E2427" w:rsidRPr="005E2427" w:rsidRDefault="005E2427" w:rsidP="005E2427">
      <w:pPr>
        <w:spacing w:line="240" w:lineRule="auto"/>
        <w:ind w:left="576" w:hanging="288"/>
        <w:rPr>
          <w:rFonts w:asciiTheme="majorHAnsi" w:eastAsiaTheme="minorEastAsia" w:hAnsiTheme="majorHAnsi" w:cs="ITCAvantGardeStd-BkCn"/>
          <w:color w:val="000000"/>
        </w:rPr>
      </w:pPr>
      <w:r w:rsidRPr="005E2427">
        <w:rPr>
          <w:rFonts w:asciiTheme="majorHAnsi" w:eastAsiaTheme="minorEastAsia" w:hAnsiTheme="majorHAnsi" w:cs="ITCAvantGardeStd-BkCn"/>
          <w:color w:val="000000"/>
        </w:rPr>
        <w:t>•</w:t>
      </w:r>
      <w:r w:rsidRPr="005E2427">
        <w:rPr>
          <w:rFonts w:asciiTheme="majorHAnsi" w:eastAsiaTheme="minorEastAsia" w:hAnsiTheme="majorHAnsi" w:cs="ITCAvantGardeStd-BkCn"/>
          <w:color w:val="000000"/>
        </w:rPr>
        <w:tab/>
        <w:t>What kinds of institutional support can you argue for? Who might be your allies? What institutional resources can you leverage? What might be ways to engage the reward system as a way to support effective professional learning? What small steps could be taken in the next few months that could open the way for broader, more long-term change?</w:t>
      </w:r>
    </w:p>
    <w:p w14:paraId="5D59DCD9" w14:textId="77777777" w:rsidR="005E2427" w:rsidRPr="005E2427" w:rsidRDefault="005E2427" w:rsidP="005E2427">
      <w:pPr>
        <w:spacing w:line="240" w:lineRule="auto"/>
        <w:ind w:left="576" w:hanging="288"/>
        <w:rPr>
          <w:rFonts w:asciiTheme="majorHAnsi" w:eastAsiaTheme="minorEastAsia" w:hAnsiTheme="majorHAnsi" w:cs="ITCAvantGardeStd-BkCn"/>
          <w:color w:val="000000"/>
        </w:rPr>
      </w:pPr>
      <w:r w:rsidRPr="005E2427">
        <w:rPr>
          <w:rFonts w:asciiTheme="majorHAnsi" w:eastAsiaTheme="minorEastAsia" w:hAnsiTheme="majorHAnsi" w:cs="ITCAvantGardeStd-BkCn"/>
          <w:color w:val="000000"/>
        </w:rPr>
        <w:t>•</w:t>
      </w:r>
      <w:r w:rsidRPr="005E2427">
        <w:rPr>
          <w:rFonts w:asciiTheme="majorHAnsi" w:eastAsiaTheme="minorEastAsia" w:hAnsiTheme="majorHAnsi" w:cs="ITCAvantGardeStd-BkCn"/>
          <w:color w:val="000000"/>
        </w:rPr>
        <w:tab/>
        <w:t xml:space="preserve">What opportunities for </w:t>
      </w:r>
      <w:proofErr w:type="spellStart"/>
      <w:r w:rsidRPr="005E2427">
        <w:rPr>
          <w:rFonts w:asciiTheme="majorHAnsi" w:eastAsiaTheme="minorEastAsia" w:hAnsiTheme="majorHAnsi" w:cs="ITCAvantGardeStd-BkCn"/>
          <w:color w:val="000000"/>
        </w:rPr>
        <w:t>ecosystemic</w:t>
      </w:r>
      <w:proofErr w:type="spellEnd"/>
      <w:r w:rsidRPr="005E2427">
        <w:rPr>
          <w:rFonts w:asciiTheme="majorHAnsi" w:eastAsiaTheme="minorEastAsia" w:hAnsiTheme="majorHAnsi" w:cs="ITCAvantGardeStd-BkCn"/>
          <w:color w:val="000000"/>
        </w:rPr>
        <w:t xml:space="preserve"> connection might align with your initiative? How could you leverage your connection with ATD? What about system-based initiatives, accreditation processes, disciplinary associations, external funders, and other ecosystem actors? Can you identify possible partners, potential sources of guidance, messaging, and/or funding? How could you build any of the above into your plan? </w:t>
      </w:r>
    </w:p>
    <w:p w14:paraId="68A4135A" w14:textId="52AA5458" w:rsidR="00C40ECF" w:rsidRPr="005E2427" w:rsidRDefault="005E2427" w:rsidP="005E2427">
      <w:pPr>
        <w:spacing w:line="240" w:lineRule="auto"/>
        <w:ind w:left="-274"/>
        <w:rPr>
          <w:rFonts w:asciiTheme="majorHAnsi" w:eastAsiaTheme="minorEastAsia" w:hAnsiTheme="majorHAnsi" w:cs="ITCAvantGardeStd-BkCn"/>
          <w:color w:val="000000"/>
        </w:rPr>
      </w:pPr>
      <w:r w:rsidRPr="005E2427">
        <w:rPr>
          <w:rFonts w:asciiTheme="majorHAnsi" w:eastAsiaTheme="minorEastAsia" w:hAnsiTheme="majorHAnsi" w:cs="ITCAvantGardeStd-BkCn"/>
          <w:b/>
          <w:bCs/>
          <w:color w:val="000000"/>
        </w:rPr>
        <w:t>Step 3: Making and Pursuing a Plan.</w:t>
      </w:r>
      <w:r w:rsidRPr="005E2427">
        <w:rPr>
          <w:rFonts w:asciiTheme="majorHAnsi" w:eastAsiaTheme="minorEastAsia" w:hAnsiTheme="majorHAnsi" w:cs="ITCAvantGardeStd-BkCn"/>
          <w:color w:val="000000"/>
        </w:rPr>
        <w:t xml:space="preserve"> Having reviewed the possibilities, begin developing a plan. Identify three to five particularly promising or strategically crucial possibilities. For each, identify at least one short-term step to take and one more mid-range strategy to pursue. Write up your notes and hold onto to them for future use.</w:t>
      </w:r>
      <w:r w:rsidR="00C40ECF">
        <w:rPr>
          <w:rFonts w:asciiTheme="majorHAnsi" w:hAnsiTheme="majorHAnsi"/>
          <w:color w:val="FFFFFF" w:themeColor="background1"/>
          <w:position w:val="-40"/>
          <w:sz w:val="24"/>
          <w:szCs w:val="24"/>
        </w:rPr>
        <w:br w:type="page"/>
      </w:r>
    </w:p>
    <w:p w14:paraId="47B40EB6" w14:textId="369C6E22" w:rsidR="00C40ECF" w:rsidRPr="00B85CD2" w:rsidRDefault="00C40ECF" w:rsidP="00C40EC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82816" behindDoc="1" locked="0" layoutInCell="1" allowOverlap="1" wp14:anchorId="03514C66" wp14:editId="60EC8BB7">
            <wp:simplePos x="0" y="0"/>
            <wp:positionH relativeFrom="column">
              <wp:posOffset>-228600</wp:posOffset>
            </wp:positionH>
            <wp:positionV relativeFrom="paragraph">
              <wp:posOffset>3810</wp:posOffset>
            </wp:positionV>
            <wp:extent cx="5943600" cy="401744"/>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 xml:space="preserve">Worksheet </w:t>
      </w:r>
      <w:r w:rsidR="005E2427">
        <w:rPr>
          <w:rFonts w:asciiTheme="majorHAnsi" w:hAnsiTheme="majorHAnsi"/>
          <w:color w:val="FFFFFF" w:themeColor="background1"/>
          <w:position w:val="-40"/>
          <w:sz w:val="24"/>
          <w:szCs w:val="24"/>
        </w:rPr>
        <w:t>4</w:t>
      </w:r>
      <w:r>
        <w:rPr>
          <w:rFonts w:asciiTheme="majorHAnsi" w:hAnsiTheme="majorHAnsi"/>
          <w:color w:val="FFFFFF" w:themeColor="background1"/>
          <w:position w:val="-40"/>
          <w:sz w:val="24"/>
          <w:szCs w:val="24"/>
        </w:rPr>
        <w:t>.10</w:t>
      </w:r>
    </w:p>
    <w:p w14:paraId="61A52D7D" w14:textId="77777777" w:rsidR="00C40ECF" w:rsidRPr="00A53AA1" w:rsidRDefault="00C40ECF" w:rsidP="00C40ECF">
      <w:pPr>
        <w:spacing w:before="240"/>
        <w:ind w:left="-270"/>
        <w:jc w:val="center"/>
        <w:rPr>
          <w:rFonts w:asciiTheme="majorHAnsi" w:hAnsiTheme="majorHAnsi"/>
          <w:b/>
          <w:color w:val="00836C"/>
          <w:sz w:val="36"/>
          <w:szCs w:val="36"/>
        </w:rPr>
      </w:pPr>
      <w:r>
        <w:rPr>
          <w:rFonts w:asciiTheme="majorHAnsi" w:hAnsiTheme="majorHAnsi"/>
          <w:b/>
          <w:color w:val="00836C"/>
          <w:sz w:val="36"/>
          <w:szCs w:val="36"/>
        </w:rPr>
        <w:t>Making the Case</w:t>
      </w:r>
    </w:p>
    <w:p w14:paraId="18CEF84B" w14:textId="2EBADCF0" w:rsidR="00C40ECF" w:rsidRPr="001C2BF9" w:rsidRDefault="00A10BED" w:rsidP="00A10BED">
      <w:pPr>
        <w:ind w:left="-270"/>
        <w:rPr>
          <w:rFonts w:asciiTheme="majorHAnsi" w:eastAsiaTheme="minorEastAsia" w:hAnsiTheme="majorHAnsi" w:cs="ITCAvantGardeStd-BkCn"/>
          <w:color w:val="000000"/>
        </w:rPr>
      </w:pPr>
      <w:r w:rsidRPr="00A10BED">
        <w:rPr>
          <w:rFonts w:asciiTheme="majorHAnsi" w:eastAsiaTheme="minorEastAsia" w:hAnsiTheme="majorHAnsi" w:cs="ITCAvantGardeStd-BkCn"/>
          <w:color w:val="000000"/>
        </w:rPr>
        <w:t>Imagine you are having a conversation with other leaders at your college who are not part of your working team. You want to make a case for the importance of advancing high-impact professional learning as outlined in this chapter. Take a minute to think about it and make some notes, using the following reflective prompts as your guide</w:t>
      </w:r>
      <w:r w:rsidR="00C40ECF" w:rsidRPr="000C1191">
        <w:rPr>
          <w:rFonts w:asciiTheme="majorHAnsi" w:eastAsiaTheme="minorEastAsia" w:hAnsiTheme="majorHAnsi" w:cs="ITCAvantGardeStd-BkCn"/>
          <w:color w:val="000000"/>
        </w:rPr>
        <w:t>.</w:t>
      </w:r>
    </w:p>
    <w:p w14:paraId="08917886" w14:textId="77777777" w:rsidR="00A10BED" w:rsidRPr="00A10BED" w:rsidRDefault="00A10BED" w:rsidP="00A10BED">
      <w:pPr>
        <w:ind w:left="576" w:hanging="288"/>
        <w:rPr>
          <w:rFonts w:asciiTheme="majorHAnsi" w:eastAsiaTheme="minorEastAsia" w:hAnsiTheme="majorHAnsi" w:cs="ITCAvantGardeStd-BkCn"/>
          <w:color w:val="000000"/>
        </w:rPr>
      </w:pPr>
      <w:r w:rsidRPr="00A10BED">
        <w:rPr>
          <w:rFonts w:asciiTheme="majorHAnsi" w:eastAsiaTheme="minorEastAsia" w:hAnsiTheme="majorHAnsi" w:cs="ITCAvantGardeStd-BkCn"/>
          <w:color w:val="000000"/>
        </w:rPr>
        <w:t>1.</w:t>
      </w:r>
      <w:r w:rsidRPr="00A10BED">
        <w:rPr>
          <w:rFonts w:asciiTheme="majorHAnsi" w:eastAsiaTheme="minorEastAsia" w:hAnsiTheme="majorHAnsi" w:cs="ITCAvantGardeStd-BkCn"/>
          <w:color w:val="000000"/>
        </w:rPr>
        <w:tab/>
        <w:t>What evidence or arguments presented in this chapter did you find particularly persuasive? Why? What are the implications of this evidence or argument? What ideas, references, or sources would you want to remember and be able to use in your work?</w:t>
      </w:r>
    </w:p>
    <w:p w14:paraId="4FC96314" w14:textId="77777777" w:rsidR="00A10BED" w:rsidRPr="00A10BED" w:rsidRDefault="00A10BED" w:rsidP="00A10BED">
      <w:pPr>
        <w:ind w:left="576" w:hanging="288"/>
        <w:rPr>
          <w:rFonts w:asciiTheme="majorHAnsi" w:eastAsiaTheme="minorEastAsia" w:hAnsiTheme="majorHAnsi" w:cs="ITCAvantGardeStd-BkCn"/>
          <w:color w:val="000000"/>
        </w:rPr>
      </w:pPr>
      <w:r w:rsidRPr="00A10BED">
        <w:rPr>
          <w:rFonts w:asciiTheme="majorHAnsi" w:eastAsiaTheme="minorEastAsia" w:hAnsiTheme="majorHAnsi" w:cs="ITCAvantGardeStd-BkCn"/>
          <w:color w:val="000000"/>
        </w:rPr>
        <w:t>2.</w:t>
      </w:r>
      <w:r w:rsidRPr="00A10BED">
        <w:rPr>
          <w:rFonts w:asciiTheme="majorHAnsi" w:eastAsiaTheme="minorEastAsia" w:hAnsiTheme="majorHAnsi" w:cs="ITCAvantGardeStd-BkCn"/>
          <w:color w:val="000000"/>
        </w:rPr>
        <w:tab/>
        <w:t>Sketch a two- to three-minute “elevator speech” arguing for the value of a college effort around this issue. What key points would you include?</w:t>
      </w:r>
    </w:p>
    <w:p w14:paraId="4D0158AF" w14:textId="7BEAE226" w:rsidR="00C40ECF" w:rsidRPr="00731192" w:rsidRDefault="00A10BED" w:rsidP="00A10BED">
      <w:pPr>
        <w:ind w:left="576" w:hanging="288"/>
        <w:rPr>
          <w:rFonts w:asciiTheme="majorHAnsi" w:eastAsiaTheme="minorEastAsia" w:hAnsiTheme="majorHAnsi" w:cs="ITCAvantGardeStd-BkCn"/>
          <w:color w:val="000000"/>
        </w:rPr>
      </w:pPr>
      <w:r w:rsidRPr="00A10BED">
        <w:rPr>
          <w:rFonts w:asciiTheme="majorHAnsi" w:eastAsiaTheme="minorEastAsia" w:hAnsiTheme="majorHAnsi" w:cs="ITCAvantGardeStd-BkCn"/>
          <w:color w:val="000000"/>
        </w:rPr>
        <w:t>3.</w:t>
      </w:r>
      <w:r w:rsidRPr="00A10BED">
        <w:rPr>
          <w:rFonts w:asciiTheme="majorHAnsi" w:eastAsiaTheme="minorEastAsia" w:hAnsiTheme="majorHAnsi" w:cs="ITCAvantGardeStd-BkCn"/>
          <w:color w:val="000000"/>
        </w:rPr>
        <w:tab/>
        <w:t>What ideas or issues discussed in this chapter would you want to know more about? Are there references you’d like to explore in greater depth? How else might you deepen your knowledge base on the issue(s) you’ve identified?</w:t>
      </w:r>
    </w:p>
    <w:sectPr w:rsidR="00C40ECF" w:rsidRPr="00731192" w:rsidSect="00D17575">
      <w:headerReference w:type="even" r:id="rId9"/>
      <w:headerReference w:type="default" r:id="rId10"/>
      <w:footerReference w:type="even" r:id="rId11"/>
      <w:footerReference w:type="default" r:id="rId12"/>
      <w:pgSz w:w="12240" w:h="15840"/>
      <w:pgMar w:top="900" w:right="1530" w:bottom="1440" w:left="1800" w:header="27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2603" w14:textId="77777777" w:rsidR="00912F78" w:rsidRDefault="00912F78" w:rsidP="00260918">
      <w:pPr>
        <w:spacing w:after="0" w:line="240" w:lineRule="auto"/>
      </w:pPr>
      <w:r>
        <w:separator/>
      </w:r>
    </w:p>
  </w:endnote>
  <w:endnote w:type="continuationSeparator" w:id="0">
    <w:p w14:paraId="32D792CE" w14:textId="77777777" w:rsidR="00912F78" w:rsidRDefault="00912F78" w:rsidP="0026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3EFE" w14:textId="0209E6DF" w:rsidR="00B413DD" w:rsidRDefault="00912F78">
    <w:pPr>
      <w:pStyle w:val="Footer"/>
    </w:pPr>
    <w:sdt>
      <w:sdtPr>
        <w:id w:val="751014388"/>
        <w:temporary/>
        <w:showingPlcHdr/>
      </w:sdtPr>
      <w:sdtEndPr/>
      <w:sdtContent>
        <w:r w:rsidR="00B413DD">
          <w:t>[Type text]</w:t>
        </w:r>
      </w:sdtContent>
    </w:sdt>
    <w:r w:rsidR="00B413DD">
      <w:ptab w:relativeTo="margin" w:alignment="center" w:leader="none"/>
    </w:r>
    <w:sdt>
      <w:sdtPr>
        <w:id w:val="-1901893304"/>
        <w:temporary/>
        <w:showingPlcHdr/>
      </w:sdtPr>
      <w:sdtEndPr/>
      <w:sdtContent>
        <w:r w:rsidR="00B413DD">
          <w:t>[Type text]</w:t>
        </w:r>
      </w:sdtContent>
    </w:sdt>
    <w:r w:rsidR="00B413DD">
      <w:ptab w:relativeTo="margin" w:alignment="right" w:leader="none"/>
    </w:r>
    <w:sdt>
      <w:sdtPr>
        <w:id w:val="1004785262"/>
        <w:temporary/>
        <w:showingPlcHdr/>
      </w:sdtPr>
      <w:sdtEndPr/>
      <w:sdtContent>
        <w:r w:rsidR="00B413D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935F" w14:textId="77777777" w:rsidR="00B413DD" w:rsidRDefault="00B413DD" w:rsidP="00260918">
    <w:pPr>
      <w:spacing w:after="0" w:line="240" w:lineRule="auto"/>
      <w:jc w:val="center"/>
      <w:rPr>
        <w:rFonts w:ascii="Times" w:eastAsia="Times New Roman" w:hAnsi="Times" w:cs="Times New Roman"/>
      </w:rPr>
    </w:pPr>
  </w:p>
  <w:p w14:paraId="324CD435" w14:textId="2D665315" w:rsidR="00B413DD" w:rsidRPr="00260918" w:rsidRDefault="00B413DD" w:rsidP="00260918">
    <w:pPr>
      <w:spacing w:after="0" w:line="240" w:lineRule="auto"/>
      <w:jc w:val="center"/>
      <w:rPr>
        <w:rFonts w:ascii="Times" w:eastAsia="Times New Roman" w:hAnsi="Times" w:cs="Times New Roman"/>
      </w:rPr>
    </w:pPr>
    <w:r>
      <w:rPr>
        <w:noProof/>
      </w:rPr>
      <w:drawing>
        <wp:inline distT="0" distB="0" distL="0" distR="0" wp14:anchorId="498E232C" wp14:editId="6CE820F4">
          <wp:extent cx="1705638" cy="55490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HSig-NT-3288G-hires.jpg"/>
                  <pic:cNvPicPr/>
                </pic:nvPicPr>
                <pic:blipFill>
                  <a:blip r:embed="rId1">
                    <a:extLst>
                      <a:ext uri="{28A0092B-C50C-407E-A947-70E740481C1C}">
                        <a14:useLocalDpi xmlns:a14="http://schemas.microsoft.com/office/drawing/2010/main" val="0"/>
                      </a:ext>
                    </a:extLst>
                  </a:blip>
                  <a:stretch>
                    <a:fillRect/>
                  </a:stretch>
                </pic:blipFill>
                <pic:spPr>
                  <a:xfrm>
                    <a:off x="0" y="0"/>
                    <a:ext cx="1705638" cy="554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4871" w14:textId="77777777" w:rsidR="00912F78" w:rsidRDefault="00912F78" w:rsidP="00260918">
      <w:pPr>
        <w:spacing w:after="0" w:line="240" w:lineRule="auto"/>
      </w:pPr>
      <w:r>
        <w:separator/>
      </w:r>
    </w:p>
  </w:footnote>
  <w:footnote w:type="continuationSeparator" w:id="0">
    <w:p w14:paraId="3F62DFE2" w14:textId="77777777" w:rsidR="00912F78" w:rsidRDefault="00912F78" w:rsidP="0026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0D60" w14:textId="77777777" w:rsidR="00B413DD" w:rsidRDefault="00912F78">
    <w:pPr>
      <w:pStyle w:val="Header"/>
    </w:pPr>
    <w:sdt>
      <w:sdtPr>
        <w:id w:val="-1955161589"/>
        <w:placeholder>
          <w:docPart w:val="161909B5B0572C49BD8B84770A50EE20"/>
        </w:placeholder>
        <w:temporary/>
        <w:showingPlcHdr/>
      </w:sdtPr>
      <w:sdtEndPr/>
      <w:sdtContent>
        <w:r w:rsidR="00B413DD">
          <w:t>[Type text]</w:t>
        </w:r>
      </w:sdtContent>
    </w:sdt>
    <w:r w:rsidR="00B413DD">
      <w:ptab w:relativeTo="margin" w:alignment="center" w:leader="none"/>
    </w:r>
    <w:sdt>
      <w:sdtPr>
        <w:id w:val="-400132382"/>
        <w:placeholder>
          <w:docPart w:val="0771B9322CACF14889E1410E103C0057"/>
        </w:placeholder>
        <w:temporary/>
        <w:showingPlcHdr/>
      </w:sdtPr>
      <w:sdtEndPr/>
      <w:sdtContent>
        <w:r w:rsidR="00B413DD">
          <w:t>[Type text]</w:t>
        </w:r>
      </w:sdtContent>
    </w:sdt>
    <w:r w:rsidR="00B413DD">
      <w:ptab w:relativeTo="margin" w:alignment="right" w:leader="none"/>
    </w:r>
    <w:sdt>
      <w:sdtPr>
        <w:id w:val="649950366"/>
        <w:placeholder>
          <w:docPart w:val="CBE335BB17619442B607190A0EBCB8E6"/>
        </w:placeholder>
        <w:temporary/>
        <w:showingPlcHdr/>
      </w:sdtPr>
      <w:sdtEndPr/>
      <w:sdtContent>
        <w:r w:rsidR="00B413DD">
          <w:t>[Type text]</w:t>
        </w:r>
      </w:sdtContent>
    </w:sdt>
  </w:p>
  <w:p w14:paraId="3D545C10" w14:textId="77777777" w:rsidR="00B413DD" w:rsidRDefault="00B41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E0A1" w14:textId="2E0D8ABA" w:rsidR="00B413DD" w:rsidRDefault="00B413DD" w:rsidP="00F92C21">
    <w:pPr>
      <w:pStyle w:val="Header"/>
      <w:jc w:val="center"/>
    </w:pPr>
    <w:r>
      <w:rPr>
        <w:noProof/>
      </w:rPr>
      <w:drawing>
        <wp:inline distT="0" distB="0" distL="0" distR="0" wp14:anchorId="4802AF49" wp14:editId="12D26F89">
          <wp:extent cx="4187952" cy="268224"/>
          <wp:effectExtent l="0" t="0" r="317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Worksheet Header.png"/>
                  <pic:cNvPicPr/>
                </pic:nvPicPr>
                <pic:blipFill>
                  <a:blip r:embed="rId1">
                    <a:extLst>
                      <a:ext uri="{28A0092B-C50C-407E-A947-70E740481C1C}">
                        <a14:useLocalDpi xmlns:a14="http://schemas.microsoft.com/office/drawing/2010/main" val="0"/>
                      </a:ext>
                    </a:extLst>
                  </a:blip>
                  <a:stretch>
                    <a:fillRect/>
                  </a:stretch>
                </pic:blipFill>
                <pic:spPr>
                  <a:xfrm>
                    <a:off x="0" y="0"/>
                    <a:ext cx="4187952" cy="268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F3"/>
    <w:multiLevelType w:val="hybridMultilevel"/>
    <w:tmpl w:val="5D6C8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4E5E"/>
    <w:multiLevelType w:val="hybridMultilevel"/>
    <w:tmpl w:val="8272C2A8"/>
    <w:lvl w:ilvl="0" w:tplc="04090015">
      <w:start w:val="1"/>
      <w:numFmt w:val="upp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15:restartNumberingAfterBreak="0">
    <w:nsid w:val="0CA54B44"/>
    <w:multiLevelType w:val="hybridMultilevel"/>
    <w:tmpl w:val="735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171B"/>
    <w:multiLevelType w:val="hybridMultilevel"/>
    <w:tmpl w:val="1598EB9C"/>
    <w:lvl w:ilvl="0" w:tplc="4FACEE66">
      <w:start w:val="1"/>
      <w:numFmt w:val="bullet"/>
      <w:lvlText w:val=""/>
      <w:lvlJc w:val="left"/>
      <w:pPr>
        <w:ind w:left="720" w:hanging="360"/>
      </w:pPr>
      <w:rPr>
        <w:rFonts w:ascii="Symbol" w:hAnsi="Symbol" w:hint="default"/>
      </w:rPr>
    </w:lvl>
    <w:lvl w:ilvl="1" w:tplc="58AE5DD2">
      <w:start w:val="1"/>
      <w:numFmt w:val="bullet"/>
      <w:lvlText w:val="o"/>
      <w:lvlJc w:val="left"/>
      <w:pPr>
        <w:ind w:left="1440" w:hanging="360"/>
      </w:pPr>
      <w:rPr>
        <w:rFonts w:ascii="Courier New" w:hAnsi="Courier New" w:hint="default"/>
      </w:rPr>
    </w:lvl>
    <w:lvl w:ilvl="2" w:tplc="CF0ECDA8">
      <w:start w:val="1"/>
      <w:numFmt w:val="bullet"/>
      <w:lvlText w:val=""/>
      <w:lvlJc w:val="left"/>
      <w:pPr>
        <w:ind w:left="2160" w:hanging="360"/>
      </w:pPr>
      <w:rPr>
        <w:rFonts w:ascii="Wingdings" w:hAnsi="Wingdings" w:hint="default"/>
      </w:rPr>
    </w:lvl>
    <w:lvl w:ilvl="3" w:tplc="5A748FC6">
      <w:start w:val="1"/>
      <w:numFmt w:val="bullet"/>
      <w:lvlText w:val=""/>
      <w:lvlJc w:val="left"/>
      <w:pPr>
        <w:ind w:left="2880" w:hanging="360"/>
      </w:pPr>
      <w:rPr>
        <w:rFonts w:ascii="Symbol" w:hAnsi="Symbol" w:hint="default"/>
      </w:rPr>
    </w:lvl>
    <w:lvl w:ilvl="4" w:tplc="392CCFEE">
      <w:start w:val="1"/>
      <w:numFmt w:val="bullet"/>
      <w:lvlText w:val="o"/>
      <w:lvlJc w:val="left"/>
      <w:pPr>
        <w:ind w:left="3600" w:hanging="360"/>
      </w:pPr>
      <w:rPr>
        <w:rFonts w:ascii="Courier New" w:hAnsi="Courier New" w:hint="default"/>
      </w:rPr>
    </w:lvl>
    <w:lvl w:ilvl="5" w:tplc="96108FD6">
      <w:start w:val="1"/>
      <w:numFmt w:val="bullet"/>
      <w:lvlText w:val=""/>
      <w:lvlJc w:val="left"/>
      <w:pPr>
        <w:ind w:left="4320" w:hanging="360"/>
      </w:pPr>
      <w:rPr>
        <w:rFonts w:ascii="Wingdings" w:hAnsi="Wingdings" w:hint="default"/>
      </w:rPr>
    </w:lvl>
    <w:lvl w:ilvl="6" w:tplc="9F4A4426">
      <w:start w:val="1"/>
      <w:numFmt w:val="bullet"/>
      <w:lvlText w:val=""/>
      <w:lvlJc w:val="left"/>
      <w:pPr>
        <w:ind w:left="5040" w:hanging="360"/>
      </w:pPr>
      <w:rPr>
        <w:rFonts w:ascii="Symbol" w:hAnsi="Symbol" w:hint="default"/>
      </w:rPr>
    </w:lvl>
    <w:lvl w:ilvl="7" w:tplc="BDDA073A">
      <w:start w:val="1"/>
      <w:numFmt w:val="bullet"/>
      <w:lvlText w:val="o"/>
      <w:lvlJc w:val="left"/>
      <w:pPr>
        <w:ind w:left="5760" w:hanging="360"/>
      </w:pPr>
      <w:rPr>
        <w:rFonts w:ascii="Courier New" w:hAnsi="Courier New" w:hint="default"/>
      </w:rPr>
    </w:lvl>
    <w:lvl w:ilvl="8" w:tplc="83A6ECF6">
      <w:start w:val="1"/>
      <w:numFmt w:val="bullet"/>
      <w:lvlText w:val=""/>
      <w:lvlJc w:val="left"/>
      <w:pPr>
        <w:ind w:left="6480" w:hanging="360"/>
      </w:pPr>
      <w:rPr>
        <w:rFonts w:ascii="Wingdings" w:hAnsi="Wingdings" w:hint="default"/>
      </w:rPr>
    </w:lvl>
  </w:abstractNum>
  <w:abstractNum w:abstractNumId="4" w15:restartNumberingAfterBreak="0">
    <w:nsid w:val="132351A3"/>
    <w:multiLevelType w:val="hybridMultilevel"/>
    <w:tmpl w:val="0524B540"/>
    <w:lvl w:ilvl="0" w:tplc="0C927B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04107"/>
    <w:multiLevelType w:val="hybridMultilevel"/>
    <w:tmpl w:val="BF9EC05E"/>
    <w:lvl w:ilvl="0" w:tplc="57F816B4">
      <w:start w:val="1"/>
      <w:numFmt w:val="bullet"/>
      <w:lvlText w:val=""/>
      <w:lvlJc w:val="left"/>
      <w:pPr>
        <w:ind w:left="720" w:hanging="360"/>
      </w:pPr>
      <w:rPr>
        <w:rFonts w:ascii="Symbol" w:hAnsi="Symbol" w:hint="default"/>
      </w:rPr>
    </w:lvl>
    <w:lvl w:ilvl="1" w:tplc="55921D18">
      <w:start w:val="1"/>
      <w:numFmt w:val="bullet"/>
      <w:lvlText w:val="o"/>
      <w:lvlJc w:val="left"/>
      <w:pPr>
        <w:ind w:left="1440" w:hanging="360"/>
      </w:pPr>
      <w:rPr>
        <w:rFonts w:ascii="Courier New" w:hAnsi="Courier New" w:hint="default"/>
      </w:rPr>
    </w:lvl>
    <w:lvl w:ilvl="2" w:tplc="A8684E06">
      <w:start w:val="1"/>
      <w:numFmt w:val="bullet"/>
      <w:lvlText w:val=""/>
      <w:lvlJc w:val="left"/>
      <w:pPr>
        <w:ind w:left="2160" w:hanging="360"/>
      </w:pPr>
      <w:rPr>
        <w:rFonts w:ascii="Wingdings" w:hAnsi="Wingdings" w:hint="default"/>
      </w:rPr>
    </w:lvl>
    <w:lvl w:ilvl="3" w:tplc="A03216F2">
      <w:start w:val="1"/>
      <w:numFmt w:val="bullet"/>
      <w:lvlText w:val=""/>
      <w:lvlJc w:val="left"/>
      <w:pPr>
        <w:ind w:left="2880" w:hanging="360"/>
      </w:pPr>
      <w:rPr>
        <w:rFonts w:ascii="Symbol" w:hAnsi="Symbol" w:hint="default"/>
      </w:rPr>
    </w:lvl>
    <w:lvl w:ilvl="4" w:tplc="A33A92D4">
      <w:start w:val="1"/>
      <w:numFmt w:val="bullet"/>
      <w:lvlText w:val="o"/>
      <w:lvlJc w:val="left"/>
      <w:pPr>
        <w:ind w:left="3600" w:hanging="360"/>
      </w:pPr>
      <w:rPr>
        <w:rFonts w:ascii="Courier New" w:hAnsi="Courier New" w:hint="default"/>
      </w:rPr>
    </w:lvl>
    <w:lvl w:ilvl="5" w:tplc="6F40533C">
      <w:start w:val="1"/>
      <w:numFmt w:val="bullet"/>
      <w:lvlText w:val=""/>
      <w:lvlJc w:val="left"/>
      <w:pPr>
        <w:ind w:left="4320" w:hanging="360"/>
      </w:pPr>
      <w:rPr>
        <w:rFonts w:ascii="Wingdings" w:hAnsi="Wingdings" w:hint="default"/>
      </w:rPr>
    </w:lvl>
    <w:lvl w:ilvl="6" w:tplc="7D2C91F0">
      <w:start w:val="1"/>
      <w:numFmt w:val="bullet"/>
      <w:lvlText w:val=""/>
      <w:lvlJc w:val="left"/>
      <w:pPr>
        <w:ind w:left="5040" w:hanging="360"/>
      </w:pPr>
      <w:rPr>
        <w:rFonts w:ascii="Symbol" w:hAnsi="Symbol" w:hint="default"/>
      </w:rPr>
    </w:lvl>
    <w:lvl w:ilvl="7" w:tplc="27346810">
      <w:start w:val="1"/>
      <w:numFmt w:val="bullet"/>
      <w:lvlText w:val="o"/>
      <w:lvlJc w:val="left"/>
      <w:pPr>
        <w:ind w:left="5760" w:hanging="360"/>
      </w:pPr>
      <w:rPr>
        <w:rFonts w:ascii="Courier New" w:hAnsi="Courier New" w:hint="default"/>
      </w:rPr>
    </w:lvl>
    <w:lvl w:ilvl="8" w:tplc="ADC2701C">
      <w:start w:val="1"/>
      <w:numFmt w:val="bullet"/>
      <w:lvlText w:val=""/>
      <w:lvlJc w:val="left"/>
      <w:pPr>
        <w:ind w:left="6480" w:hanging="360"/>
      </w:pPr>
      <w:rPr>
        <w:rFonts w:ascii="Wingdings" w:hAnsi="Wingdings" w:hint="default"/>
      </w:rPr>
    </w:lvl>
  </w:abstractNum>
  <w:abstractNum w:abstractNumId="6" w15:restartNumberingAfterBreak="0">
    <w:nsid w:val="23AB12BF"/>
    <w:multiLevelType w:val="hybridMultilevel"/>
    <w:tmpl w:val="A5C06A88"/>
    <w:lvl w:ilvl="0" w:tplc="5D2A710A">
      <w:start w:val="1"/>
      <w:numFmt w:val="bullet"/>
      <w:lvlText w:val=""/>
      <w:lvlJc w:val="left"/>
      <w:pPr>
        <w:ind w:left="720" w:hanging="360"/>
      </w:pPr>
      <w:rPr>
        <w:rFonts w:ascii="Symbol" w:hAnsi="Symbol" w:hint="default"/>
      </w:rPr>
    </w:lvl>
    <w:lvl w:ilvl="1" w:tplc="FC22341E">
      <w:start w:val="1"/>
      <w:numFmt w:val="bullet"/>
      <w:lvlText w:val="o"/>
      <w:lvlJc w:val="left"/>
      <w:pPr>
        <w:ind w:left="1440" w:hanging="360"/>
      </w:pPr>
      <w:rPr>
        <w:rFonts w:ascii="Courier New" w:hAnsi="Courier New" w:hint="default"/>
      </w:rPr>
    </w:lvl>
    <w:lvl w:ilvl="2" w:tplc="C5BC5B9E">
      <w:start w:val="1"/>
      <w:numFmt w:val="bullet"/>
      <w:lvlText w:val=""/>
      <w:lvlJc w:val="left"/>
      <w:pPr>
        <w:ind w:left="2160" w:hanging="360"/>
      </w:pPr>
      <w:rPr>
        <w:rFonts w:ascii="Wingdings" w:hAnsi="Wingdings" w:hint="default"/>
      </w:rPr>
    </w:lvl>
    <w:lvl w:ilvl="3" w:tplc="29AC18C2">
      <w:start w:val="1"/>
      <w:numFmt w:val="bullet"/>
      <w:lvlText w:val=""/>
      <w:lvlJc w:val="left"/>
      <w:pPr>
        <w:ind w:left="2880" w:hanging="360"/>
      </w:pPr>
      <w:rPr>
        <w:rFonts w:ascii="Symbol" w:hAnsi="Symbol" w:hint="default"/>
      </w:rPr>
    </w:lvl>
    <w:lvl w:ilvl="4" w:tplc="31E44C96">
      <w:start w:val="1"/>
      <w:numFmt w:val="bullet"/>
      <w:lvlText w:val="o"/>
      <w:lvlJc w:val="left"/>
      <w:pPr>
        <w:ind w:left="3600" w:hanging="360"/>
      </w:pPr>
      <w:rPr>
        <w:rFonts w:ascii="Courier New" w:hAnsi="Courier New" w:hint="default"/>
      </w:rPr>
    </w:lvl>
    <w:lvl w:ilvl="5" w:tplc="6E68F566">
      <w:start w:val="1"/>
      <w:numFmt w:val="bullet"/>
      <w:lvlText w:val=""/>
      <w:lvlJc w:val="left"/>
      <w:pPr>
        <w:ind w:left="4320" w:hanging="360"/>
      </w:pPr>
      <w:rPr>
        <w:rFonts w:ascii="Wingdings" w:hAnsi="Wingdings" w:hint="default"/>
      </w:rPr>
    </w:lvl>
    <w:lvl w:ilvl="6" w:tplc="D4401516">
      <w:start w:val="1"/>
      <w:numFmt w:val="bullet"/>
      <w:lvlText w:val=""/>
      <w:lvlJc w:val="left"/>
      <w:pPr>
        <w:ind w:left="5040" w:hanging="360"/>
      </w:pPr>
      <w:rPr>
        <w:rFonts w:ascii="Symbol" w:hAnsi="Symbol" w:hint="default"/>
      </w:rPr>
    </w:lvl>
    <w:lvl w:ilvl="7" w:tplc="6DF489E4">
      <w:start w:val="1"/>
      <w:numFmt w:val="bullet"/>
      <w:lvlText w:val="o"/>
      <w:lvlJc w:val="left"/>
      <w:pPr>
        <w:ind w:left="5760" w:hanging="360"/>
      </w:pPr>
      <w:rPr>
        <w:rFonts w:ascii="Courier New" w:hAnsi="Courier New" w:hint="default"/>
      </w:rPr>
    </w:lvl>
    <w:lvl w:ilvl="8" w:tplc="637E6D7A">
      <w:start w:val="1"/>
      <w:numFmt w:val="bullet"/>
      <w:lvlText w:val=""/>
      <w:lvlJc w:val="left"/>
      <w:pPr>
        <w:ind w:left="6480" w:hanging="360"/>
      </w:pPr>
      <w:rPr>
        <w:rFonts w:ascii="Wingdings" w:hAnsi="Wingdings" w:hint="default"/>
      </w:rPr>
    </w:lvl>
  </w:abstractNum>
  <w:abstractNum w:abstractNumId="7" w15:restartNumberingAfterBreak="0">
    <w:nsid w:val="2BBA468A"/>
    <w:multiLevelType w:val="hybridMultilevel"/>
    <w:tmpl w:val="DFE27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A3FB7"/>
    <w:multiLevelType w:val="hybridMultilevel"/>
    <w:tmpl w:val="1D72E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76ED"/>
    <w:multiLevelType w:val="hybridMultilevel"/>
    <w:tmpl w:val="46FEF268"/>
    <w:lvl w:ilvl="0" w:tplc="BE22D0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B1770"/>
    <w:multiLevelType w:val="hybridMultilevel"/>
    <w:tmpl w:val="C7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A168E"/>
    <w:multiLevelType w:val="hybridMultilevel"/>
    <w:tmpl w:val="BCD010B6"/>
    <w:lvl w:ilvl="0" w:tplc="FEC2EA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33830"/>
    <w:multiLevelType w:val="hybridMultilevel"/>
    <w:tmpl w:val="A1C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603A"/>
    <w:multiLevelType w:val="hybridMultilevel"/>
    <w:tmpl w:val="18527F36"/>
    <w:lvl w:ilvl="0" w:tplc="8C88D0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2"/>
  </w:num>
  <w:num w:numId="5">
    <w:abstractNumId w:val="3"/>
  </w:num>
  <w:num w:numId="6">
    <w:abstractNumId w:val="10"/>
  </w:num>
  <w:num w:numId="7">
    <w:abstractNumId w:val="1"/>
  </w:num>
  <w:num w:numId="8">
    <w:abstractNumId w:val="11"/>
  </w:num>
  <w:num w:numId="9">
    <w:abstractNumId w:val="7"/>
  </w:num>
  <w:num w:numId="10">
    <w:abstractNumId w:val="9"/>
  </w:num>
  <w:num w:numId="11">
    <w:abstractNumId w:val="0"/>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61D"/>
    <w:rsid w:val="00005AD0"/>
    <w:rsid w:val="00012D36"/>
    <w:rsid w:val="00034B2D"/>
    <w:rsid w:val="00045821"/>
    <w:rsid w:val="00085085"/>
    <w:rsid w:val="000912E6"/>
    <w:rsid w:val="000A71EA"/>
    <w:rsid w:val="000C1191"/>
    <w:rsid w:val="000D037B"/>
    <w:rsid w:val="00107D58"/>
    <w:rsid w:val="00130FC7"/>
    <w:rsid w:val="00166FC6"/>
    <w:rsid w:val="001C2BF9"/>
    <w:rsid w:val="00222C16"/>
    <w:rsid w:val="002256DE"/>
    <w:rsid w:val="002376E3"/>
    <w:rsid w:val="002431F9"/>
    <w:rsid w:val="00244B18"/>
    <w:rsid w:val="0025659E"/>
    <w:rsid w:val="00260918"/>
    <w:rsid w:val="002649F3"/>
    <w:rsid w:val="002B6079"/>
    <w:rsid w:val="002F5510"/>
    <w:rsid w:val="003069AF"/>
    <w:rsid w:val="003120C1"/>
    <w:rsid w:val="003274F0"/>
    <w:rsid w:val="00341050"/>
    <w:rsid w:val="00351F0C"/>
    <w:rsid w:val="00356541"/>
    <w:rsid w:val="0036244E"/>
    <w:rsid w:val="00397CA3"/>
    <w:rsid w:val="003E2046"/>
    <w:rsid w:val="003E3C4F"/>
    <w:rsid w:val="0043548A"/>
    <w:rsid w:val="00437132"/>
    <w:rsid w:val="00490C0A"/>
    <w:rsid w:val="004A3D10"/>
    <w:rsid w:val="004B282C"/>
    <w:rsid w:val="004B6421"/>
    <w:rsid w:val="0055182B"/>
    <w:rsid w:val="005A4AD2"/>
    <w:rsid w:val="005C5B86"/>
    <w:rsid w:val="005E2427"/>
    <w:rsid w:val="005F026E"/>
    <w:rsid w:val="00623346"/>
    <w:rsid w:val="00633DC2"/>
    <w:rsid w:val="006F4196"/>
    <w:rsid w:val="006F66FD"/>
    <w:rsid w:val="007066B3"/>
    <w:rsid w:val="00731192"/>
    <w:rsid w:val="007B4348"/>
    <w:rsid w:val="007E67FB"/>
    <w:rsid w:val="007E78CC"/>
    <w:rsid w:val="0083075D"/>
    <w:rsid w:val="00842058"/>
    <w:rsid w:val="0084272C"/>
    <w:rsid w:val="00874A6B"/>
    <w:rsid w:val="00874FD0"/>
    <w:rsid w:val="00895625"/>
    <w:rsid w:val="008B3B6D"/>
    <w:rsid w:val="008D061B"/>
    <w:rsid w:val="008D55B9"/>
    <w:rsid w:val="00905553"/>
    <w:rsid w:val="00912F78"/>
    <w:rsid w:val="00945EDE"/>
    <w:rsid w:val="00946957"/>
    <w:rsid w:val="009519CC"/>
    <w:rsid w:val="00970915"/>
    <w:rsid w:val="00992589"/>
    <w:rsid w:val="009B4C5D"/>
    <w:rsid w:val="00A10BED"/>
    <w:rsid w:val="00A12EBD"/>
    <w:rsid w:val="00A24DCE"/>
    <w:rsid w:val="00A318FF"/>
    <w:rsid w:val="00A53AA1"/>
    <w:rsid w:val="00A71107"/>
    <w:rsid w:val="00AA5B53"/>
    <w:rsid w:val="00B34A1D"/>
    <w:rsid w:val="00B413DD"/>
    <w:rsid w:val="00B67E51"/>
    <w:rsid w:val="00B85CD2"/>
    <w:rsid w:val="00B94C9A"/>
    <w:rsid w:val="00BB245F"/>
    <w:rsid w:val="00C247B0"/>
    <w:rsid w:val="00C25F18"/>
    <w:rsid w:val="00C2795F"/>
    <w:rsid w:val="00C30E05"/>
    <w:rsid w:val="00C3361D"/>
    <w:rsid w:val="00C40ECF"/>
    <w:rsid w:val="00C46D22"/>
    <w:rsid w:val="00C53C62"/>
    <w:rsid w:val="00C54750"/>
    <w:rsid w:val="00C55514"/>
    <w:rsid w:val="00C628CB"/>
    <w:rsid w:val="00CE41AD"/>
    <w:rsid w:val="00D17575"/>
    <w:rsid w:val="00D233CC"/>
    <w:rsid w:val="00D30DFD"/>
    <w:rsid w:val="00D64781"/>
    <w:rsid w:val="00D769A3"/>
    <w:rsid w:val="00D801ED"/>
    <w:rsid w:val="00DC42FA"/>
    <w:rsid w:val="00DC6BD2"/>
    <w:rsid w:val="00DC763C"/>
    <w:rsid w:val="00E13314"/>
    <w:rsid w:val="00E27D9B"/>
    <w:rsid w:val="00E51B7F"/>
    <w:rsid w:val="00E57A0A"/>
    <w:rsid w:val="00E57F34"/>
    <w:rsid w:val="00EA22D3"/>
    <w:rsid w:val="00EB2DE5"/>
    <w:rsid w:val="00F01571"/>
    <w:rsid w:val="00F07678"/>
    <w:rsid w:val="00F3646B"/>
    <w:rsid w:val="00F438B5"/>
    <w:rsid w:val="00F92C21"/>
    <w:rsid w:val="00F96A0A"/>
    <w:rsid w:val="00FE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C231B"/>
  <w14:defaultImageDpi w14:val="300"/>
  <w15:docId w15:val="{B6E7F41E-D948-9145-84FF-F0AD15FE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61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1D"/>
    <w:pPr>
      <w:ind w:left="720"/>
      <w:contextualSpacing/>
    </w:pPr>
  </w:style>
  <w:style w:type="table" w:styleId="TableGrid">
    <w:name w:val="Table Grid"/>
    <w:basedOn w:val="TableNormal"/>
    <w:uiPriority w:val="39"/>
    <w:rsid w:val="00C3361D"/>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orksheetTable">
    <w:name w:val="Worksheet Table"/>
    <w:basedOn w:val="Normal"/>
    <w:qFormat/>
    <w:rsid w:val="00012D36"/>
    <w:rPr>
      <w:rFonts w:asciiTheme="majorHAnsi" w:hAnsiTheme="majorHAnsi"/>
      <w:spacing w:val="-10"/>
    </w:rPr>
  </w:style>
  <w:style w:type="paragraph" w:customStyle="1" w:styleId="WorksheetHeader">
    <w:name w:val="Worksheet Header"/>
    <w:basedOn w:val="WorksheetTable"/>
    <w:qFormat/>
    <w:rsid w:val="00012D36"/>
    <w:rPr>
      <w:b/>
      <w:bCs/>
      <w:spacing w:val="0"/>
    </w:rPr>
  </w:style>
  <w:style w:type="paragraph" w:styleId="Header">
    <w:name w:val="header"/>
    <w:basedOn w:val="Normal"/>
    <w:link w:val="HeaderChar"/>
    <w:uiPriority w:val="99"/>
    <w:unhideWhenUsed/>
    <w:rsid w:val="002609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918"/>
    <w:rPr>
      <w:rFonts w:eastAsiaTheme="minorHAnsi"/>
      <w:sz w:val="22"/>
      <w:szCs w:val="22"/>
    </w:rPr>
  </w:style>
  <w:style w:type="paragraph" w:styleId="Footer">
    <w:name w:val="footer"/>
    <w:basedOn w:val="Normal"/>
    <w:link w:val="FooterChar"/>
    <w:uiPriority w:val="99"/>
    <w:unhideWhenUsed/>
    <w:rsid w:val="002609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918"/>
    <w:rPr>
      <w:rFonts w:eastAsiaTheme="minorHAnsi"/>
      <w:sz w:val="22"/>
      <w:szCs w:val="22"/>
    </w:rPr>
  </w:style>
  <w:style w:type="paragraph" w:styleId="BalloonText">
    <w:name w:val="Balloon Text"/>
    <w:basedOn w:val="Normal"/>
    <w:link w:val="BalloonTextChar"/>
    <w:uiPriority w:val="99"/>
    <w:semiHidden/>
    <w:unhideWhenUsed/>
    <w:rsid w:val="00260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18"/>
    <w:rPr>
      <w:rFonts w:ascii="Lucida Grande" w:eastAsiaTheme="minorHAnsi" w:hAnsi="Lucida Grande" w:cs="Lucida Grande"/>
      <w:sz w:val="18"/>
      <w:szCs w:val="18"/>
    </w:rPr>
  </w:style>
  <w:style w:type="paragraph" w:styleId="CommentText">
    <w:name w:val="annotation text"/>
    <w:basedOn w:val="Normal"/>
    <w:link w:val="CommentTextChar"/>
    <w:uiPriority w:val="99"/>
    <w:semiHidden/>
    <w:unhideWhenUsed/>
    <w:rsid w:val="004B282C"/>
    <w:pPr>
      <w:spacing w:line="240" w:lineRule="auto"/>
    </w:pPr>
    <w:rPr>
      <w:sz w:val="20"/>
      <w:szCs w:val="20"/>
    </w:rPr>
  </w:style>
  <w:style w:type="character" w:customStyle="1" w:styleId="CommentTextChar">
    <w:name w:val="Comment Text Char"/>
    <w:basedOn w:val="DefaultParagraphFont"/>
    <w:link w:val="CommentText"/>
    <w:uiPriority w:val="99"/>
    <w:semiHidden/>
    <w:rsid w:val="004B282C"/>
    <w:rPr>
      <w:rFonts w:eastAsiaTheme="minorHAnsi"/>
      <w:sz w:val="20"/>
      <w:szCs w:val="20"/>
    </w:rPr>
  </w:style>
  <w:style w:type="character" w:styleId="CommentReference">
    <w:name w:val="annotation reference"/>
    <w:basedOn w:val="DefaultParagraphFont"/>
    <w:uiPriority w:val="99"/>
    <w:semiHidden/>
    <w:unhideWhenUsed/>
    <w:rsid w:val="004B282C"/>
    <w:rPr>
      <w:sz w:val="16"/>
      <w:szCs w:val="16"/>
    </w:rPr>
  </w:style>
  <w:style w:type="paragraph" w:customStyle="1" w:styleId="WorksheetTextWorksheets">
    <w:name w:val="Worksheet Text (Worksheets)"/>
    <w:basedOn w:val="Normal"/>
    <w:uiPriority w:val="99"/>
    <w:rsid w:val="00842058"/>
    <w:pPr>
      <w:widowControl w:val="0"/>
      <w:autoSpaceDE w:val="0"/>
      <w:autoSpaceDN w:val="0"/>
      <w:adjustRightInd w:val="0"/>
      <w:spacing w:after="180" w:line="300" w:lineRule="atLeast"/>
      <w:textAlignment w:val="center"/>
    </w:pPr>
    <w:rPr>
      <w:rFonts w:asciiTheme="majorHAnsi" w:eastAsiaTheme="minorEastAsia" w:hAnsiTheme="majorHAnsi" w:cs="ITCAvantGardeStd-BkCn"/>
      <w:color w:val="000000"/>
    </w:rPr>
  </w:style>
  <w:style w:type="paragraph" w:customStyle="1" w:styleId="TableHeaderWorksheets">
    <w:name w:val="Table Header (Worksheets)"/>
    <w:basedOn w:val="Normal"/>
    <w:uiPriority w:val="99"/>
    <w:rsid w:val="00D233CC"/>
    <w:pPr>
      <w:widowControl w:val="0"/>
      <w:suppressAutoHyphens/>
      <w:autoSpaceDE w:val="0"/>
      <w:autoSpaceDN w:val="0"/>
      <w:adjustRightInd w:val="0"/>
      <w:spacing w:after="0" w:line="288" w:lineRule="auto"/>
      <w:jc w:val="center"/>
      <w:textAlignment w:val="center"/>
    </w:pPr>
    <w:rPr>
      <w:rFonts w:ascii="ITCAvantGardeStd-DemiCn" w:eastAsiaTheme="minorEastAsia" w:hAnsi="ITCAvantGardeStd-DemiCn" w:cs="ITCAvantGardeStd-DemiCn"/>
      <w:color w:val="FFFFFF"/>
    </w:rPr>
  </w:style>
  <w:style w:type="paragraph" w:customStyle="1" w:styleId="TableTextExampleWorksheets">
    <w:name w:val="Table Text Example (Worksheets)"/>
    <w:basedOn w:val="Normal"/>
    <w:uiPriority w:val="99"/>
    <w:rsid w:val="00D233CC"/>
    <w:pPr>
      <w:widowControl w:val="0"/>
      <w:suppressAutoHyphens/>
      <w:autoSpaceDE w:val="0"/>
      <w:autoSpaceDN w:val="0"/>
      <w:adjustRightInd w:val="0"/>
      <w:spacing w:line="288" w:lineRule="auto"/>
      <w:textAlignment w:val="center"/>
    </w:pPr>
    <w:rPr>
      <w:rFonts w:ascii="ITCAvantGardeStd-BkCnObl" w:eastAsiaTheme="minorEastAsia" w:hAnsi="ITCAvantGardeStd-BkCnObl" w:cs="ITCAvantGardeStd-BkCnObl"/>
      <w:i/>
      <w:iCs/>
      <w:color w:val="000000"/>
      <w:sz w:val="18"/>
      <w:szCs w:val="18"/>
    </w:rPr>
  </w:style>
  <w:style w:type="paragraph" w:customStyle="1" w:styleId="WorksheetNumberedQuestionsWorksheets">
    <w:name w:val="Worksheet Numbered Questions (Worksheets)"/>
    <w:basedOn w:val="WorksheetTextWorksheets"/>
    <w:uiPriority w:val="99"/>
    <w:rsid w:val="00D801ED"/>
    <w:pPr>
      <w:ind w:left="630" w:hanging="270"/>
    </w:pPr>
    <w:rPr>
      <w:rFonts w:ascii="ITCAvantGardeStd-BkCn" w:hAnsi="ITCAvantGardeStd-BkCn"/>
    </w:rPr>
  </w:style>
  <w:style w:type="paragraph" w:customStyle="1" w:styleId="NoParagraphStyle">
    <w:name w:val="[No Paragraph Style]"/>
    <w:rsid w:val="00D801ED"/>
    <w:pPr>
      <w:widowControl w:val="0"/>
      <w:autoSpaceDE w:val="0"/>
      <w:autoSpaceDN w:val="0"/>
      <w:adjustRightInd w:val="0"/>
      <w:spacing w:line="288" w:lineRule="auto"/>
      <w:textAlignment w:val="center"/>
    </w:pPr>
    <w:rPr>
      <w:rFonts w:ascii="ITCAvantGardeStd-DemiCn" w:hAnsi="ITCAvantGardeStd-DemiCn" w:cs="Times New Roman"/>
      <w:color w:val="000000"/>
    </w:rPr>
  </w:style>
  <w:style w:type="paragraph" w:customStyle="1" w:styleId="TableTextWorksheets">
    <w:name w:val="Table Text (Worksheets)"/>
    <w:basedOn w:val="NoParagraphStyle"/>
    <w:uiPriority w:val="99"/>
    <w:rsid w:val="000912E6"/>
    <w:pPr>
      <w:suppressAutoHyphens/>
      <w:spacing w:after="160"/>
    </w:pPr>
    <w:rPr>
      <w:rFonts w:ascii="ITCAvantGardeStd-BkCn" w:hAnsi="ITCAvantGardeStd-BkCn" w:cs="ITCAvantGardeStd-BkCn"/>
      <w:sz w:val="18"/>
      <w:szCs w:val="18"/>
    </w:rPr>
  </w:style>
  <w:style w:type="character" w:styleId="Hyperlink">
    <w:name w:val="Hyperlink"/>
    <w:basedOn w:val="DefaultParagraphFont"/>
    <w:uiPriority w:val="99"/>
    <w:rsid w:val="00F3646B"/>
    <w:rPr>
      <w:color w:val="00529B"/>
      <w:w w:val="100"/>
      <w:u w:val="thick" w:color="0052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7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1909B5B0572C49BD8B84770A50EE20"/>
        <w:category>
          <w:name w:val="General"/>
          <w:gallery w:val="placeholder"/>
        </w:category>
        <w:types>
          <w:type w:val="bbPlcHdr"/>
        </w:types>
        <w:behaviors>
          <w:behavior w:val="content"/>
        </w:behaviors>
        <w:guid w:val="{DD37DA7D-7F87-5A41-BE43-5334DE23B5DE}"/>
      </w:docPartPr>
      <w:docPartBody>
        <w:p w:rsidR="00C82813" w:rsidRDefault="00DB3740" w:rsidP="00DB3740">
          <w:pPr>
            <w:pStyle w:val="161909B5B0572C49BD8B84770A50EE20"/>
          </w:pPr>
          <w:r>
            <w:t>[Type text]</w:t>
          </w:r>
        </w:p>
      </w:docPartBody>
    </w:docPart>
    <w:docPart>
      <w:docPartPr>
        <w:name w:val="0771B9322CACF14889E1410E103C0057"/>
        <w:category>
          <w:name w:val="General"/>
          <w:gallery w:val="placeholder"/>
        </w:category>
        <w:types>
          <w:type w:val="bbPlcHdr"/>
        </w:types>
        <w:behaviors>
          <w:behavior w:val="content"/>
        </w:behaviors>
        <w:guid w:val="{2733123D-5261-5444-BBD3-CE2F644B838E}"/>
      </w:docPartPr>
      <w:docPartBody>
        <w:p w:rsidR="00C82813" w:rsidRDefault="00DB3740" w:rsidP="00DB3740">
          <w:pPr>
            <w:pStyle w:val="0771B9322CACF14889E1410E103C0057"/>
          </w:pPr>
          <w:r>
            <w:t>[Type text]</w:t>
          </w:r>
        </w:p>
      </w:docPartBody>
    </w:docPart>
    <w:docPart>
      <w:docPartPr>
        <w:name w:val="CBE335BB17619442B607190A0EBCB8E6"/>
        <w:category>
          <w:name w:val="General"/>
          <w:gallery w:val="placeholder"/>
        </w:category>
        <w:types>
          <w:type w:val="bbPlcHdr"/>
        </w:types>
        <w:behaviors>
          <w:behavior w:val="content"/>
        </w:behaviors>
        <w:guid w:val="{B857CADE-7F44-2143-BF3C-92EDD95D3974}"/>
      </w:docPartPr>
      <w:docPartBody>
        <w:p w:rsidR="00C82813" w:rsidRDefault="00DB3740" w:rsidP="00DB3740">
          <w:pPr>
            <w:pStyle w:val="CBE335BB17619442B607190A0EBCB8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740"/>
    <w:rsid w:val="00270747"/>
    <w:rsid w:val="00277791"/>
    <w:rsid w:val="002D018A"/>
    <w:rsid w:val="007E7BD1"/>
    <w:rsid w:val="007F3952"/>
    <w:rsid w:val="00C82813"/>
    <w:rsid w:val="00DB3740"/>
    <w:rsid w:val="00E2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F4303A9293043BF1AA8FBE5D5ADF4">
    <w:name w:val="62AF4303A9293043BF1AA8FBE5D5ADF4"/>
    <w:rsid w:val="00DB3740"/>
  </w:style>
  <w:style w:type="paragraph" w:customStyle="1" w:styleId="D5829FB30A663A4F952131589E738AB4">
    <w:name w:val="D5829FB30A663A4F952131589E738AB4"/>
    <w:rsid w:val="00DB3740"/>
  </w:style>
  <w:style w:type="paragraph" w:customStyle="1" w:styleId="0B59DBD89C50AE4BBA1DD42018E1C5C2">
    <w:name w:val="0B59DBD89C50AE4BBA1DD42018E1C5C2"/>
    <w:rsid w:val="00DB3740"/>
  </w:style>
  <w:style w:type="paragraph" w:customStyle="1" w:styleId="F9556F6C7B8E8544BADD9A46CEDB85C2">
    <w:name w:val="F9556F6C7B8E8544BADD9A46CEDB85C2"/>
    <w:rsid w:val="00DB3740"/>
  </w:style>
  <w:style w:type="paragraph" w:customStyle="1" w:styleId="1A083D8499B3B04B9359B9645890E387">
    <w:name w:val="1A083D8499B3B04B9359B9645890E387"/>
    <w:rsid w:val="00DB3740"/>
  </w:style>
  <w:style w:type="paragraph" w:customStyle="1" w:styleId="37041526F7C0DF4398CB7589A194F6B2">
    <w:name w:val="37041526F7C0DF4398CB7589A194F6B2"/>
    <w:rsid w:val="00DB3740"/>
  </w:style>
  <w:style w:type="paragraph" w:customStyle="1" w:styleId="161909B5B0572C49BD8B84770A50EE20">
    <w:name w:val="161909B5B0572C49BD8B84770A50EE20"/>
    <w:rsid w:val="00DB3740"/>
  </w:style>
  <w:style w:type="paragraph" w:customStyle="1" w:styleId="0771B9322CACF14889E1410E103C0057">
    <w:name w:val="0771B9322CACF14889E1410E103C0057"/>
    <w:rsid w:val="00DB3740"/>
  </w:style>
  <w:style w:type="paragraph" w:customStyle="1" w:styleId="CBE335BB17619442B607190A0EBCB8E6">
    <w:name w:val="CBE335BB17619442B607190A0EBCB8E6"/>
    <w:rsid w:val="00DB3740"/>
  </w:style>
  <w:style w:type="paragraph" w:customStyle="1" w:styleId="1FCB7B1F20D57840A4002D0C1D02C310">
    <w:name w:val="1FCB7B1F20D57840A4002D0C1D02C310"/>
    <w:rsid w:val="00DB3740"/>
  </w:style>
  <w:style w:type="paragraph" w:customStyle="1" w:styleId="97D8914901EBFC45908B6C416F220C35">
    <w:name w:val="97D8914901EBFC45908B6C416F220C35"/>
    <w:rsid w:val="00DB3740"/>
  </w:style>
  <w:style w:type="paragraph" w:customStyle="1" w:styleId="8C98F5BCDFF7E1419B8C5E6F523667A1">
    <w:name w:val="8C98F5BCDFF7E1419B8C5E6F523667A1"/>
    <w:rsid w:val="00DB3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E0E2-DCA1-1145-9755-04925932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3333</Words>
  <Characters>18999</Characters>
  <Application>Microsoft Office Word</Application>
  <DocSecurity>0</DocSecurity>
  <Lines>158</Lines>
  <Paragraphs>44</Paragraphs>
  <ScaleCrop>false</ScaleCrop>
  <Company>Springer Design &amp; Illustration</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Springer</dc:creator>
  <cp:keywords/>
  <dc:description/>
  <cp:lastModifiedBy>Jon Iuzzini</cp:lastModifiedBy>
  <cp:revision>16</cp:revision>
  <dcterms:created xsi:type="dcterms:W3CDTF">2020-09-04T00:46:00Z</dcterms:created>
  <dcterms:modified xsi:type="dcterms:W3CDTF">2020-09-14T18:05:00Z</dcterms:modified>
</cp:coreProperties>
</file>